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b w:val="0"/>
          <w:sz w:val="20"/>
        </w:rPr>
      </w:pPr>
      <w:r>
        <w:rPr/>
        <w:pict>
          <v:group style="position:absolute;margin-left:.000009pt;margin-top:36.832428pt;width:568.450pt;height:765.7pt;mso-position-horizontal-relative:page;mso-position-vertical-relative:page;z-index:-254823424" coordorigin="0,737" coordsize="11369,15314">
            <v:shape style="position:absolute;left:0;top:736;width:11198;height:15314" type="#_x0000_t75" stroked="false">
              <v:imagedata r:id="rId5" o:title=""/>
            </v:shape>
            <v:rect style="position:absolute;left:1104;top:4838;width:10265;height:291" filled="true" fillcolor="#1a3556" stroked="false">
              <v:fill type="solid"/>
            </v:rect>
            <v:rect style="position:absolute;left:1104;top:4810;width:10265;height:29" filled="true" fillcolor="#1e7a8b" stroked="false">
              <v:fill type="solid"/>
            </v:rect>
            <v:rect style="position:absolute;left:1104;top:6433;width:10265;height:291" filled="true" fillcolor="#1a3556" stroked="false">
              <v:fill type="solid"/>
            </v:rect>
            <v:rect style="position:absolute;left:1104;top:6723;width:10265;height:29" filled="true" fillcolor="#1e7a8b" stroked="false">
              <v:fill type="solid"/>
            </v:rect>
            <w10:wrap type="none"/>
          </v:group>
        </w:pict>
      </w: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spacing w:before="3"/>
        <w:rPr>
          <w:rFonts w:ascii="Times New Roman"/>
          <w:b w:val="0"/>
          <w:sz w:val="11"/>
        </w:rPr>
      </w:pPr>
    </w:p>
    <w:p>
      <w:pPr>
        <w:pStyle w:val="BodyText"/>
        <w:ind w:left="764"/>
        <w:rPr>
          <w:rFonts w:ascii="Times New Roman"/>
          <w:b w:val="0"/>
          <w:sz w:val="20"/>
        </w:rPr>
      </w:pPr>
      <w:r>
        <w:rPr>
          <w:rFonts w:ascii="Times New Roman"/>
          <w:b w:val="0"/>
          <w:sz w:val="20"/>
        </w:rPr>
        <w:pict>
          <v:shapetype id="_x0000_t202" o:spt="202" coordsize="21600,21600" path="m,l,21600r21600,l21600,xe">
            <v:stroke joinstyle="miter"/>
            <v:path gradientshapeok="t" o:connecttype="rect"/>
          </v:shapetype>
          <v:shape style="width:513.25pt;height:39.3pt;mso-position-horizontal-relative:char;mso-position-vertical-relative:line" type="#_x0000_t202" filled="true" fillcolor="#1a3556" stroked="false">
            <w10:anchorlock/>
            <v:textbox inset="0,0,0,0">
              <w:txbxContent>
                <w:p>
                  <w:pPr>
                    <w:spacing w:before="0"/>
                    <w:ind w:left="1723" w:right="1728" w:firstLine="0"/>
                    <w:jc w:val="center"/>
                    <w:rPr>
                      <w:b/>
                      <w:sz w:val="26"/>
                    </w:rPr>
                  </w:pPr>
                  <w:r>
                    <w:rPr>
                      <w:b/>
                      <w:color w:val="FFFFFF"/>
                      <w:sz w:val="26"/>
                    </w:rPr>
                    <w:t>FUNDACIÓN TUTELAR CANARIA PARA LA ACCIÓN SOCIAL, M.P.</w:t>
                  </w:r>
                </w:p>
                <w:p>
                  <w:pPr>
                    <w:spacing w:before="126"/>
                    <w:ind w:left="1723" w:right="1727" w:firstLine="0"/>
                    <w:jc w:val="center"/>
                    <w:rPr>
                      <w:b/>
                      <w:sz w:val="26"/>
                    </w:rPr>
                  </w:pPr>
                  <w:r>
                    <w:rPr>
                      <w:b/>
                      <w:color w:val="D0EDF1"/>
                      <w:sz w:val="26"/>
                    </w:rPr>
                    <w:t>FUCAS</w:t>
                  </w:r>
                </w:p>
              </w:txbxContent>
            </v:textbox>
            <v:fill type="solid"/>
          </v:shape>
        </w:pict>
      </w:r>
      <w:r>
        <w:rPr>
          <w:rFonts w:ascii="Times New Roman"/>
          <w:b w:val="0"/>
          <w:sz w:val="20"/>
        </w:rPr>
      </w: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spacing w:before="6"/>
        <w:rPr>
          <w:rFonts w:ascii="Times New Roman"/>
          <w:b w:val="0"/>
          <w:sz w:val="16"/>
        </w:rPr>
      </w:pPr>
    </w:p>
    <w:p>
      <w:pPr>
        <w:spacing w:line="631" w:lineRule="exact" w:before="0"/>
        <w:ind w:left="906" w:right="267" w:firstLine="0"/>
        <w:jc w:val="center"/>
        <w:rPr>
          <w:b/>
          <w:sz w:val="52"/>
        </w:rPr>
      </w:pPr>
      <w:r>
        <w:rPr>
          <w:b/>
          <w:color w:val="1A3556"/>
          <w:sz w:val="52"/>
        </w:rPr>
        <w:t>REGISTRO DE ACTIVIDADES DE TRATAMIENTO</w:t>
      </w:r>
    </w:p>
    <w:p>
      <w:pPr>
        <w:pStyle w:val="Heading2"/>
        <w:spacing w:before="169"/>
        <w:ind w:left="903" w:right="267"/>
      </w:pPr>
      <w:r>
        <w:rPr>
          <w:color w:val="2462A9"/>
        </w:rPr>
        <w:t>Responsable y Encargada del Tratamiento</w:t>
      </w:r>
    </w:p>
    <w:p>
      <w:pPr>
        <w:spacing w:line="240" w:lineRule="auto" w:before="0"/>
        <w:rPr>
          <w:b/>
          <w:sz w:val="26"/>
        </w:rPr>
      </w:pPr>
    </w:p>
    <w:p>
      <w:pPr>
        <w:spacing w:line="240" w:lineRule="auto" w:before="7"/>
        <w:rPr>
          <w:b/>
          <w:sz w:val="19"/>
        </w:rPr>
      </w:pPr>
    </w:p>
    <w:p>
      <w:pPr>
        <w:spacing w:line="340" w:lineRule="auto" w:before="0"/>
        <w:ind w:left="3075" w:right="2431" w:firstLine="0"/>
        <w:jc w:val="center"/>
        <w:rPr>
          <w:sz w:val="19"/>
        </w:rPr>
      </w:pPr>
      <w:r>
        <w:rPr>
          <w:color w:val="39395C"/>
          <w:sz w:val="19"/>
        </w:rPr>
        <w:t>Elaborado conforme al artículo 30 del Reglamento (UE) 2016/679 (RGPD) y la Ley Orgánica 3/2018, de 5 de diciembre (LOPDGDD)</w:t>
      </w: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2"/>
        <w:rPr>
          <w:sz w:val="24"/>
        </w:rPr>
      </w:pPr>
    </w:p>
    <w:p>
      <w:pPr>
        <w:spacing w:before="56"/>
        <w:ind w:left="647" w:right="0" w:firstLine="0"/>
        <w:jc w:val="center"/>
        <w:rPr>
          <w:sz w:val="22"/>
        </w:rPr>
      </w:pPr>
      <w:r>
        <w:rPr>
          <w:color w:val="4471C4"/>
          <w:w w:val="100"/>
          <w:sz w:val="22"/>
        </w:rPr>
        <w:t>1</w:t>
      </w:r>
    </w:p>
    <w:p>
      <w:pPr>
        <w:spacing w:after="0"/>
        <w:jc w:val="center"/>
        <w:rPr>
          <w:sz w:val="22"/>
        </w:rPr>
        <w:sectPr>
          <w:type w:val="continuous"/>
          <w:pgSz w:w="11910" w:h="16840"/>
          <w:pgMar w:top="1580" w:bottom="280" w:left="340" w:right="420"/>
        </w:sectPr>
      </w:pPr>
    </w:p>
    <w:p>
      <w:pPr>
        <w:spacing w:line="240" w:lineRule="auto" w:before="0"/>
        <w:rPr>
          <w:sz w:val="20"/>
        </w:rPr>
      </w:pPr>
      <w:r>
        <w:rPr/>
        <w:drawing>
          <wp:anchor distT="0" distB="0" distL="0" distR="0" allowOverlap="1" layoutInCell="1" locked="0" behindDoc="1" simplePos="0" relativeHeight="248494080">
            <wp:simplePos x="0" y="0"/>
            <wp:positionH relativeFrom="page">
              <wp:posOffset>0</wp:posOffset>
            </wp:positionH>
            <wp:positionV relativeFrom="page">
              <wp:posOffset>467771</wp:posOffset>
            </wp:positionV>
            <wp:extent cx="7110428" cy="9724101"/>
            <wp:effectExtent l="0" t="0" r="0" b="0"/>
            <wp:wrapNone/>
            <wp:docPr id="1" name="image1.png"/>
            <wp:cNvGraphicFramePr>
              <a:graphicFrameLocks noChangeAspect="1"/>
            </wp:cNvGraphicFramePr>
            <a:graphic>
              <a:graphicData uri="http://schemas.openxmlformats.org/drawingml/2006/picture">
                <pic:pic>
                  <pic:nvPicPr>
                    <pic:cNvPr id="2" name="image1.png"/>
                    <pic:cNvPicPr/>
                  </pic:nvPicPr>
                  <pic:blipFill>
                    <a:blip r:embed="rId5" cstate="print"/>
                    <a:stretch>
                      <a:fillRect/>
                    </a:stretch>
                  </pic:blipFill>
                  <pic:spPr>
                    <a:xfrm>
                      <a:off x="0" y="0"/>
                      <a:ext cx="7110428" cy="9724101"/>
                    </a:xfrm>
                    <a:prstGeom prst="rect">
                      <a:avLst/>
                    </a:prstGeom>
                  </pic:spPr>
                </pic:pic>
              </a:graphicData>
            </a:graphic>
          </wp:anchor>
        </w:drawing>
      </w:r>
    </w:p>
    <w:p>
      <w:pPr>
        <w:spacing w:line="240" w:lineRule="auto" w:before="0"/>
        <w:rPr>
          <w:sz w:val="20"/>
        </w:rPr>
      </w:pPr>
    </w:p>
    <w:p>
      <w:pPr>
        <w:pStyle w:val="Heading1"/>
        <w:ind w:left="792" w:firstLine="0"/>
        <w:rPr>
          <w:b w:val="0"/>
        </w:rPr>
      </w:pPr>
      <w:r>
        <w:rPr>
          <w:b w:val="0"/>
          <w:color w:val="2E5395"/>
        </w:rPr>
        <w:t>ÍNDICE</w:t>
      </w:r>
    </w:p>
    <w:p>
      <w:pPr>
        <w:pStyle w:val="ListParagraph"/>
        <w:numPr>
          <w:ilvl w:val="0"/>
          <w:numId w:val="1"/>
        </w:numPr>
        <w:tabs>
          <w:tab w:pos="971" w:val="left" w:leader="none"/>
        </w:tabs>
        <w:spacing w:line="240" w:lineRule="auto" w:before="30" w:after="0"/>
        <w:ind w:left="970" w:right="0" w:hanging="179"/>
        <w:jc w:val="left"/>
        <w:rPr>
          <w:sz w:val="18"/>
        </w:rPr>
      </w:pPr>
      <w:r>
        <w:rPr>
          <w:color w:val="1A1A2D"/>
          <w:sz w:val="18"/>
        </w:rPr>
        <w:t>Marco normativo y</w:t>
      </w:r>
      <w:r>
        <w:rPr>
          <w:color w:val="1A1A2D"/>
          <w:spacing w:val="1"/>
          <w:sz w:val="18"/>
        </w:rPr>
        <w:t> </w:t>
      </w:r>
      <w:r>
        <w:rPr>
          <w:color w:val="1A1A2D"/>
          <w:sz w:val="18"/>
        </w:rPr>
        <w:t>alcance</w:t>
      </w:r>
    </w:p>
    <w:p>
      <w:pPr>
        <w:pStyle w:val="ListParagraph"/>
        <w:numPr>
          <w:ilvl w:val="0"/>
          <w:numId w:val="1"/>
        </w:numPr>
        <w:tabs>
          <w:tab w:pos="971" w:val="left" w:leader="none"/>
        </w:tabs>
        <w:spacing w:line="240" w:lineRule="auto" w:before="116" w:after="0"/>
        <w:ind w:left="970" w:right="0" w:hanging="179"/>
        <w:jc w:val="left"/>
        <w:rPr>
          <w:sz w:val="18"/>
        </w:rPr>
      </w:pPr>
      <w:r>
        <w:rPr>
          <w:color w:val="1A1A2D"/>
          <w:sz w:val="18"/>
        </w:rPr>
        <w:t>Datos del Responsable del</w:t>
      </w:r>
      <w:r>
        <w:rPr>
          <w:color w:val="1A1A2D"/>
          <w:spacing w:val="-5"/>
          <w:sz w:val="18"/>
        </w:rPr>
        <w:t> </w:t>
      </w:r>
      <w:r>
        <w:rPr>
          <w:color w:val="1A1A2D"/>
          <w:sz w:val="18"/>
        </w:rPr>
        <w:t>Tratamiento</w:t>
      </w:r>
    </w:p>
    <w:p>
      <w:pPr>
        <w:pStyle w:val="ListParagraph"/>
        <w:numPr>
          <w:ilvl w:val="0"/>
          <w:numId w:val="1"/>
        </w:numPr>
        <w:tabs>
          <w:tab w:pos="971" w:val="left" w:leader="none"/>
        </w:tabs>
        <w:spacing w:line="240" w:lineRule="auto" w:before="119" w:after="0"/>
        <w:ind w:left="970" w:right="0" w:hanging="179"/>
        <w:jc w:val="left"/>
        <w:rPr>
          <w:sz w:val="18"/>
        </w:rPr>
      </w:pPr>
      <w:r>
        <w:rPr>
          <w:color w:val="1A1A2D"/>
          <w:sz w:val="18"/>
        </w:rPr>
        <w:t>Datos del Delegado de Protección de</w:t>
      </w:r>
      <w:r>
        <w:rPr>
          <w:color w:val="1A1A2D"/>
          <w:spacing w:val="-6"/>
          <w:sz w:val="18"/>
        </w:rPr>
        <w:t> </w:t>
      </w:r>
      <w:r>
        <w:rPr>
          <w:color w:val="1A1A2D"/>
          <w:sz w:val="18"/>
        </w:rPr>
        <w:t>Datos</w:t>
      </w:r>
    </w:p>
    <w:p>
      <w:pPr>
        <w:pStyle w:val="ListParagraph"/>
        <w:numPr>
          <w:ilvl w:val="0"/>
          <w:numId w:val="1"/>
        </w:numPr>
        <w:tabs>
          <w:tab w:pos="971" w:val="left" w:leader="none"/>
        </w:tabs>
        <w:spacing w:line="240" w:lineRule="auto" w:before="116" w:after="0"/>
        <w:ind w:left="970" w:right="0" w:hanging="179"/>
        <w:jc w:val="left"/>
        <w:rPr>
          <w:sz w:val="18"/>
        </w:rPr>
      </w:pPr>
      <w:r>
        <w:rPr>
          <w:color w:val="1A1A2D"/>
          <w:sz w:val="18"/>
        </w:rPr>
        <w:t>Fichas de actividades de</w:t>
      </w:r>
      <w:r>
        <w:rPr>
          <w:color w:val="1A1A2D"/>
          <w:spacing w:val="-5"/>
          <w:sz w:val="18"/>
        </w:rPr>
        <w:t> </w:t>
      </w:r>
      <w:r>
        <w:rPr>
          <w:color w:val="1A1A2D"/>
          <w:sz w:val="18"/>
        </w:rPr>
        <w:t>tratamiento</w:t>
      </w:r>
    </w:p>
    <w:p>
      <w:pPr>
        <w:spacing w:line="240" w:lineRule="auto" w:before="0"/>
        <w:rPr>
          <w:sz w:val="18"/>
        </w:rPr>
      </w:pPr>
    </w:p>
    <w:p>
      <w:pPr>
        <w:spacing w:line="240" w:lineRule="auto" w:before="0"/>
        <w:rPr>
          <w:sz w:val="18"/>
        </w:rPr>
      </w:pPr>
    </w:p>
    <w:p>
      <w:pPr>
        <w:spacing w:before="131"/>
        <w:ind w:left="966" w:right="0" w:firstLine="0"/>
        <w:jc w:val="left"/>
        <w:rPr>
          <w:b/>
          <w:sz w:val="19"/>
        </w:rPr>
      </w:pPr>
      <w:r>
        <w:rPr>
          <w:b/>
          <w:color w:val="2462A9"/>
          <w:sz w:val="19"/>
        </w:rPr>
        <w:t>Bloque A: Centros y servicios asistenciales</w:t>
      </w:r>
    </w:p>
    <w:p>
      <w:pPr>
        <w:pStyle w:val="ListParagraph"/>
        <w:numPr>
          <w:ilvl w:val="1"/>
          <w:numId w:val="2"/>
        </w:numPr>
        <w:tabs>
          <w:tab w:pos="1463" w:val="left" w:leader="none"/>
        </w:tabs>
        <w:spacing w:line="240" w:lineRule="auto" w:before="56" w:after="0"/>
        <w:ind w:left="1462" w:right="0" w:hanging="363"/>
        <w:jc w:val="left"/>
        <w:rPr>
          <w:sz w:val="17"/>
        </w:rPr>
      </w:pPr>
      <w:r>
        <w:rPr>
          <w:color w:val="1A1A2D"/>
          <w:sz w:val="17"/>
        </w:rPr>
        <w:t>– Alta de usuarios y gestión de expedientes – Centro de Día Los</w:t>
      </w:r>
      <w:r>
        <w:rPr>
          <w:color w:val="1A1A2D"/>
          <w:spacing w:val="-5"/>
          <w:sz w:val="17"/>
        </w:rPr>
        <w:t> </w:t>
      </w:r>
      <w:r>
        <w:rPr>
          <w:color w:val="1A1A2D"/>
          <w:sz w:val="17"/>
        </w:rPr>
        <w:t>Ruiseñores</w:t>
      </w:r>
    </w:p>
    <w:p>
      <w:pPr>
        <w:pStyle w:val="ListParagraph"/>
        <w:numPr>
          <w:ilvl w:val="1"/>
          <w:numId w:val="2"/>
        </w:numPr>
        <w:tabs>
          <w:tab w:pos="1463" w:val="left" w:leader="none"/>
        </w:tabs>
        <w:spacing w:line="304" w:lineRule="auto" w:before="56" w:after="0"/>
        <w:ind w:left="1100" w:right="2751" w:firstLine="0"/>
        <w:jc w:val="left"/>
        <w:rPr>
          <w:sz w:val="17"/>
        </w:rPr>
      </w:pPr>
      <w:r>
        <w:rPr>
          <w:color w:val="1A1A2D"/>
          <w:sz w:val="17"/>
        </w:rPr>
        <w:t>– Informes de seguimiento de fisioterapia y área psicosocioeducativa – Centro de Día Los Ruiseñores A-03 – Proyecto educativo y gestión de alumnos con NEAE – CPEE Concertado La</w:t>
      </w:r>
      <w:r>
        <w:rPr>
          <w:color w:val="1A1A2D"/>
          <w:spacing w:val="-14"/>
          <w:sz w:val="17"/>
        </w:rPr>
        <w:t> </w:t>
      </w:r>
      <w:r>
        <w:rPr>
          <w:color w:val="1A1A2D"/>
          <w:sz w:val="17"/>
        </w:rPr>
        <w:t>Casita</w:t>
      </w:r>
    </w:p>
    <w:p>
      <w:pPr>
        <w:pStyle w:val="ListParagraph"/>
        <w:numPr>
          <w:ilvl w:val="1"/>
          <w:numId w:val="3"/>
        </w:numPr>
        <w:tabs>
          <w:tab w:pos="1463" w:val="left" w:leader="none"/>
        </w:tabs>
        <w:spacing w:line="240" w:lineRule="auto" w:before="2" w:after="0"/>
        <w:ind w:left="1462" w:right="0" w:hanging="363"/>
        <w:jc w:val="left"/>
        <w:rPr>
          <w:sz w:val="17"/>
        </w:rPr>
      </w:pPr>
      <w:r>
        <w:rPr>
          <w:color w:val="1A1A2D"/>
          <w:sz w:val="17"/>
        </w:rPr>
        <w:t>– Dirección y administración – CPEE Concertado La</w:t>
      </w:r>
      <w:r>
        <w:rPr>
          <w:color w:val="1A1A2D"/>
          <w:spacing w:val="-7"/>
          <w:sz w:val="17"/>
        </w:rPr>
        <w:t> </w:t>
      </w:r>
      <w:r>
        <w:rPr>
          <w:color w:val="1A1A2D"/>
          <w:sz w:val="17"/>
        </w:rPr>
        <w:t>Casita</w:t>
      </w:r>
    </w:p>
    <w:p>
      <w:pPr>
        <w:pStyle w:val="ListParagraph"/>
        <w:numPr>
          <w:ilvl w:val="1"/>
          <w:numId w:val="3"/>
        </w:numPr>
        <w:tabs>
          <w:tab w:pos="1463" w:val="left" w:leader="none"/>
        </w:tabs>
        <w:spacing w:line="304" w:lineRule="auto" w:before="56" w:after="0"/>
        <w:ind w:left="1100" w:right="3684" w:firstLine="0"/>
        <w:jc w:val="left"/>
        <w:rPr>
          <w:sz w:val="17"/>
        </w:rPr>
      </w:pPr>
      <w:r>
        <w:rPr>
          <w:color w:val="1A1A2D"/>
          <w:sz w:val="17"/>
        </w:rPr>
        <w:t>– Actividades y gestión de usuarios – Centro de Día para Personas Mayores (Marzagán) A-06 – Junta de coordinación – Centro de Día para Personas Mayores</w:t>
      </w:r>
      <w:r>
        <w:rPr>
          <w:color w:val="1A1A2D"/>
          <w:spacing w:val="-12"/>
          <w:sz w:val="17"/>
        </w:rPr>
        <w:t> </w:t>
      </w:r>
      <w:r>
        <w:rPr>
          <w:color w:val="1A1A2D"/>
          <w:sz w:val="17"/>
        </w:rPr>
        <w:t>(Marzagán)</w:t>
      </w:r>
    </w:p>
    <w:p>
      <w:pPr>
        <w:spacing w:line="304" w:lineRule="auto" w:before="1"/>
        <w:ind w:left="1100" w:right="3178" w:firstLine="0"/>
        <w:jc w:val="left"/>
        <w:rPr>
          <w:sz w:val="17"/>
        </w:rPr>
      </w:pPr>
      <w:r>
        <w:rPr>
          <w:color w:val="1A1A2D"/>
          <w:sz w:val="17"/>
        </w:rPr>
        <w:t>A-07 – Dirección y administración de personal – Centro de Día para Personas Mayores de Marzagán A-08 – Expedientes y gestión integral de usuarios – Centro de Adultos Hermano Pedro</w:t>
      </w:r>
    </w:p>
    <w:p>
      <w:pPr>
        <w:spacing w:line="304" w:lineRule="auto" w:before="1"/>
        <w:ind w:left="1100" w:right="4752" w:firstLine="0"/>
        <w:jc w:val="left"/>
        <w:rPr>
          <w:sz w:val="17"/>
        </w:rPr>
      </w:pPr>
      <w:r>
        <w:rPr>
          <w:color w:val="1A1A2D"/>
          <w:sz w:val="17"/>
        </w:rPr>
        <w:t>A-09 – Área administrativa y económica – Centro de Adultos Hermano Pedro A-10 – Área social – Centro de Adultos Hermano Pedro</w:t>
      </w:r>
    </w:p>
    <w:p>
      <w:pPr>
        <w:spacing w:before="1"/>
        <w:ind w:left="1100" w:right="0" w:firstLine="0"/>
        <w:jc w:val="left"/>
        <w:rPr>
          <w:sz w:val="17"/>
        </w:rPr>
      </w:pPr>
      <w:r>
        <w:rPr>
          <w:color w:val="1A1A2D"/>
          <w:sz w:val="17"/>
        </w:rPr>
        <w:t>A-11 – Área de salud (gestión de citas médicas) – Centro de Adultos Hermano Pedro</w:t>
      </w:r>
    </w:p>
    <w:p>
      <w:pPr>
        <w:spacing w:before="78"/>
        <w:ind w:left="966" w:right="0" w:firstLine="0"/>
        <w:jc w:val="left"/>
        <w:rPr>
          <w:b/>
          <w:sz w:val="19"/>
        </w:rPr>
      </w:pPr>
      <w:r>
        <w:rPr>
          <w:b/>
          <w:color w:val="2462A9"/>
          <w:sz w:val="19"/>
        </w:rPr>
        <w:t>Bloque B: Medidas de apoyo a personas curateladas</w:t>
      </w:r>
    </w:p>
    <w:p>
      <w:pPr>
        <w:pStyle w:val="ListParagraph"/>
        <w:numPr>
          <w:ilvl w:val="1"/>
          <w:numId w:val="4"/>
        </w:numPr>
        <w:tabs>
          <w:tab w:pos="1459" w:val="left" w:leader="none"/>
        </w:tabs>
        <w:spacing w:line="240" w:lineRule="auto" w:before="56" w:after="0"/>
        <w:ind w:left="1458" w:right="0" w:hanging="359"/>
        <w:jc w:val="left"/>
        <w:rPr>
          <w:sz w:val="17"/>
        </w:rPr>
      </w:pPr>
      <w:r>
        <w:rPr>
          <w:color w:val="1A1A2D"/>
          <w:sz w:val="17"/>
        </w:rPr>
        <w:t>– Área jurídica – Gestión y asistencia jurídica a personas bajo medidas de</w:t>
      </w:r>
      <w:r>
        <w:rPr>
          <w:color w:val="1A1A2D"/>
          <w:spacing w:val="-9"/>
          <w:sz w:val="17"/>
        </w:rPr>
        <w:t> </w:t>
      </w:r>
      <w:r>
        <w:rPr>
          <w:color w:val="1A1A2D"/>
          <w:sz w:val="17"/>
        </w:rPr>
        <w:t>apoyo</w:t>
      </w:r>
    </w:p>
    <w:p>
      <w:pPr>
        <w:pStyle w:val="ListParagraph"/>
        <w:numPr>
          <w:ilvl w:val="1"/>
          <w:numId w:val="4"/>
        </w:numPr>
        <w:tabs>
          <w:tab w:pos="1459" w:val="left" w:leader="none"/>
        </w:tabs>
        <w:spacing w:line="304" w:lineRule="auto" w:before="57" w:after="0"/>
        <w:ind w:left="1100" w:right="3726" w:firstLine="0"/>
        <w:jc w:val="left"/>
        <w:rPr>
          <w:sz w:val="17"/>
        </w:rPr>
      </w:pPr>
      <w:r>
        <w:rPr>
          <w:color w:val="1A1A2D"/>
          <w:sz w:val="17"/>
        </w:rPr>
        <w:t>– Área social – Gestión de pensiones, citas médicas y acción social de la gestión</w:t>
      </w:r>
      <w:r>
        <w:rPr>
          <w:color w:val="1A1A2D"/>
          <w:spacing w:val="-25"/>
          <w:sz w:val="17"/>
        </w:rPr>
        <w:t> </w:t>
      </w:r>
      <w:r>
        <w:rPr>
          <w:color w:val="1A1A2D"/>
          <w:sz w:val="17"/>
        </w:rPr>
        <w:t>tutelar B-03 – Área económica – Gestión patrimonial de personas bajo medidas de</w:t>
      </w:r>
      <w:r>
        <w:rPr>
          <w:color w:val="1A1A2D"/>
          <w:spacing w:val="-15"/>
          <w:sz w:val="17"/>
        </w:rPr>
        <w:t> </w:t>
      </w:r>
      <w:r>
        <w:rPr>
          <w:color w:val="1A1A2D"/>
          <w:sz w:val="17"/>
        </w:rPr>
        <w:t>apoyo</w:t>
      </w:r>
    </w:p>
    <w:p>
      <w:pPr>
        <w:spacing w:before="1"/>
        <w:ind w:left="1100" w:right="0" w:firstLine="0"/>
        <w:jc w:val="left"/>
        <w:rPr>
          <w:sz w:val="17"/>
        </w:rPr>
      </w:pPr>
      <w:r>
        <w:rPr>
          <w:color w:val="1A1A2D"/>
          <w:sz w:val="17"/>
        </w:rPr>
        <w:t>B-04 – Área administrativa – Gestión documental de la gestión tutelar</w:t>
      </w:r>
    </w:p>
    <w:p>
      <w:pPr>
        <w:spacing w:before="78"/>
        <w:ind w:left="966" w:right="0" w:firstLine="0"/>
        <w:jc w:val="left"/>
        <w:rPr>
          <w:b/>
          <w:sz w:val="19"/>
        </w:rPr>
      </w:pPr>
      <w:r>
        <w:rPr>
          <w:b/>
          <w:color w:val="2462A9"/>
          <w:sz w:val="19"/>
        </w:rPr>
        <w:t>Bloque C: Servicios generales</w:t>
      </w:r>
    </w:p>
    <w:p>
      <w:pPr>
        <w:spacing w:line="304" w:lineRule="auto" w:before="56"/>
        <w:ind w:left="1100" w:right="7516" w:firstLine="0"/>
        <w:jc w:val="left"/>
        <w:rPr>
          <w:sz w:val="17"/>
        </w:rPr>
      </w:pPr>
      <w:r>
        <w:rPr>
          <w:color w:val="1A1A2D"/>
          <w:sz w:val="17"/>
        </w:rPr>
        <w:t>C-01 – Administración y contabilidad C-02 – Contratación pública</w:t>
      </w:r>
    </w:p>
    <w:p>
      <w:pPr>
        <w:pStyle w:val="ListParagraph"/>
        <w:numPr>
          <w:ilvl w:val="1"/>
          <w:numId w:val="5"/>
        </w:numPr>
        <w:tabs>
          <w:tab w:pos="1456" w:val="left" w:leader="none"/>
        </w:tabs>
        <w:spacing w:line="240" w:lineRule="auto" w:before="1" w:after="0"/>
        <w:ind w:left="1455" w:right="0" w:hanging="356"/>
        <w:jc w:val="left"/>
        <w:rPr>
          <w:sz w:val="17"/>
        </w:rPr>
      </w:pPr>
      <w:r>
        <w:rPr>
          <w:color w:val="1A1A2D"/>
          <w:sz w:val="17"/>
        </w:rPr>
        <w:t>– Gestión de recursos humanos y</w:t>
      </w:r>
      <w:r>
        <w:rPr>
          <w:color w:val="1A1A2D"/>
          <w:spacing w:val="-5"/>
          <w:sz w:val="17"/>
        </w:rPr>
        <w:t> </w:t>
      </w:r>
      <w:r>
        <w:rPr>
          <w:color w:val="1A1A2D"/>
          <w:sz w:val="17"/>
        </w:rPr>
        <w:t>personal</w:t>
      </w:r>
    </w:p>
    <w:p>
      <w:pPr>
        <w:pStyle w:val="ListParagraph"/>
        <w:numPr>
          <w:ilvl w:val="1"/>
          <w:numId w:val="5"/>
        </w:numPr>
        <w:tabs>
          <w:tab w:pos="1456" w:val="left" w:leader="none"/>
        </w:tabs>
        <w:spacing w:line="240" w:lineRule="auto" w:before="56" w:after="0"/>
        <w:ind w:left="1455" w:right="0" w:hanging="356"/>
        <w:jc w:val="left"/>
        <w:rPr>
          <w:sz w:val="17"/>
        </w:rPr>
      </w:pPr>
      <w:r>
        <w:rPr>
          <w:color w:val="1A1A2D"/>
          <w:sz w:val="17"/>
        </w:rPr>
        <w:t>– Gestión económico-financiera (subvenciones y</w:t>
      </w:r>
      <w:r>
        <w:rPr>
          <w:color w:val="1A1A2D"/>
          <w:spacing w:val="-4"/>
          <w:sz w:val="17"/>
        </w:rPr>
        <w:t> </w:t>
      </w:r>
      <w:r>
        <w:rPr>
          <w:color w:val="1A1A2D"/>
          <w:sz w:val="17"/>
        </w:rPr>
        <w:t>encargos)</w:t>
      </w:r>
    </w:p>
    <w:p>
      <w:pPr>
        <w:pStyle w:val="ListParagraph"/>
        <w:numPr>
          <w:ilvl w:val="1"/>
          <w:numId w:val="5"/>
        </w:numPr>
        <w:tabs>
          <w:tab w:pos="1456" w:val="left" w:leader="none"/>
        </w:tabs>
        <w:spacing w:line="304" w:lineRule="auto" w:before="57" w:after="0"/>
        <w:ind w:left="1100" w:right="4420" w:firstLine="0"/>
        <w:jc w:val="left"/>
        <w:rPr>
          <w:sz w:val="17"/>
        </w:rPr>
      </w:pPr>
      <w:r>
        <w:rPr>
          <w:color w:val="1A1A2D"/>
          <w:sz w:val="17"/>
        </w:rPr>
        <w:t>– Gestión informática (página web, correo electrónico, equipos y</w:t>
      </w:r>
      <w:r>
        <w:rPr>
          <w:color w:val="1A1A2D"/>
          <w:spacing w:val="-24"/>
          <w:sz w:val="17"/>
        </w:rPr>
        <w:t> </w:t>
      </w:r>
      <w:r>
        <w:rPr>
          <w:color w:val="1A1A2D"/>
          <w:sz w:val="17"/>
        </w:rPr>
        <w:t>servidores)</w:t>
      </w:r>
      <w:r>
        <w:rPr>
          <w:color w:val="252525"/>
          <w:sz w:val="17"/>
        </w:rPr>
        <w:t> C-06 –</w:t>
      </w:r>
      <w:r>
        <w:rPr>
          <w:color w:val="252525"/>
          <w:spacing w:val="-3"/>
          <w:sz w:val="17"/>
        </w:rPr>
        <w:t> </w:t>
      </w:r>
      <w:r>
        <w:rPr>
          <w:color w:val="252525"/>
          <w:sz w:val="17"/>
        </w:rPr>
        <w:t>Videovigilancia</w:t>
      </w:r>
    </w:p>
    <w:p>
      <w:pPr>
        <w:spacing w:before="23"/>
        <w:ind w:left="966" w:right="0" w:firstLine="0"/>
        <w:jc w:val="left"/>
        <w:rPr>
          <w:b/>
          <w:sz w:val="19"/>
        </w:rPr>
      </w:pPr>
      <w:r>
        <w:rPr>
          <w:b/>
          <w:color w:val="2462A9"/>
          <w:sz w:val="19"/>
        </w:rPr>
        <w:t>Bloque D: Encargos técnicos de la Administración autonómica</w:t>
      </w:r>
    </w:p>
    <w:p>
      <w:pPr>
        <w:spacing w:before="56"/>
        <w:ind w:left="1100" w:right="0" w:firstLine="0"/>
        <w:jc w:val="left"/>
        <w:rPr>
          <w:sz w:val="17"/>
        </w:rPr>
      </w:pPr>
      <w:r>
        <w:rPr>
          <w:color w:val="1A1A2D"/>
          <w:sz w:val="17"/>
        </w:rPr>
        <w:t>D-01 – Tramitación de Títulos de Familia Numerosa</w:t>
      </w:r>
    </w:p>
    <w:p>
      <w:pPr>
        <w:spacing w:before="56"/>
        <w:ind w:left="1100" w:right="0" w:firstLine="0"/>
        <w:jc w:val="left"/>
        <w:rPr>
          <w:sz w:val="17"/>
        </w:rPr>
      </w:pPr>
      <w:r>
        <w:rPr>
          <w:color w:val="1A1A2D"/>
          <w:sz w:val="17"/>
        </w:rPr>
        <w:t>D-03 – Valoración del grado de discapacidad (nuevo encargo 2025)</w:t>
      </w: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
        <w:rPr>
          <w:sz w:val="17"/>
        </w:rPr>
      </w:pPr>
    </w:p>
    <w:p>
      <w:pPr>
        <w:spacing w:before="0"/>
        <w:ind w:left="647" w:right="0" w:firstLine="0"/>
        <w:jc w:val="center"/>
        <w:rPr>
          <w:sz w:val="22"/>
        </w:rPr>
      </w:pPr>
      <w:r>
        <w:rPr>
          <w:color w:val="4471C4"/>
          <w:w w:val="100"/>
          <w:sz w:val="22"/>
        </w:rPr>
        <w:t>2</w:t>
      </w:r>
    </w:p>
    <w:p>
      <w:pPr>
        <w:spacing w:after="0"/>
        <w:jc w:val="center"/>
        <w:rPr>
          <w:sz w:val="22"/>
        </w:rPr>
        <w:sectPr>
          <w:pgSz w:w="11910" w:h="16840"/>
          <w:pgMar w:top="1580" w:bottom="280" w:left="340" w:right="420"/>
        </w:sectPr>
      </w:pPr>
    </w:p>
    <w:p>
      <w:pPr>
        <w:spacing w:line="240" w:lineRule="auto" w:before="0"/>
        <w:rPr>
          <w:sz w:val="20"/>
        </w:rPr>
      </w:pPr>
      <w:r>
        <w:rPr/>
        <w:drawing>
          <wp:anchor distT="0" distB="0" distL="0" distR="0" allowOverlap="1" layoutInCell="1" locked="0" behindDoc="1" simplePos="0" relativeHeight="248495104">
            <wp:simplePos x="0" y="0"/>
            <wp:positionH relativeFrom="page">
              <wp:posOffset>0</wp:posOffset>
            </wp:positionH>
            <wp:positionV relativeFrom="page">
              <wp:posOffset>467771</wp:posOffset>
            </wp:positionV>
            <wp:extent cx="7110428" cy="9724101"/>
            <wp:effectExtent l="0" t="0" r="0" b="0"/>
            <wp:wrapNone/>
            <wp:docPr id="3" name="image1.png"/>
            <wp:cNvGraphicFramePr>
              <a:graphicFrameLocks noChangeAspect="1"/>
            </wp:cNvGraphicFramePr>
            <a:graphic>
              <a:graphicData uri="http://schemas.openxmlformats.org/drawingml/2006/picture">
                <pic:pic>
                  <pic:nvPicPr>
                    <pic:cNvPr id="4" name="image1.png"/>
                    <pic:cNvPicPr/>
                  </pic:nvPicPr>
                  <pic:blipFill>
                    <a:blip r:embed="rId5" cstate="print"/>
                    <a:stretch>
                      <a:fillRect/>
                    </a:stretch>
                  </pic:blipFill>
                  <pic:spPr>
                    <a:xfrm>
                      <a:off x="0" y="0"/>
                      <a:ext cx="7110428" cy="9724101"/>
                    </a:xfrm>
                    <a:prstGeom prst="rect">
                      <a:avLst/>
                    </a:prstGeom>
                  </pic:spPr>
                </pic:pic>
              </a:graphicData>
            </a:graphic>
          </wp:anchor>
        </w:drawing>
      </w:r>
    </w:p>
    <w:p>
      <w:pPr>
        <w:spacing w:line="240" w:lineRule="auto" w:before="0"/>
        <w:rPr>
          <w:sz w:val="20"/>
        </w:rPr>
      </w:pPr>
    </w:p>
    <w:p>
      <w:pPr>
        <w:pStyle w:val="Heading1"/>
        <w:numPr>
          <w:ilvl w:val="0"/>
          <w:numId w:val="6"/>
        </w:numPr>
        <w:tabs>
          <w:tab w:pos="1105" w:val="left" w:leader="none"/>
        </w:tabs>
        <w:spacing w:line="240" w:lineRule="auto" w:before="182" w:after="0"/>
        <w:ind w:left="1104" w:right="0" w:hanging="313"/>
        <w:jc w:val="left"/>
        <w:rPr>
          <w:b w:val="0"/>
        </w:rPr>
      </w:pPr>
      <w:r>
        <w:rPr>
          <w:b w:val="0"/>
          <w:color w:val="2E5395"/>
        </w:rPr>
        <w:t>Marco normativo y alcance del</w:t>
      </w:r>
      <w:r>
        <w:rPr>
          <w:b w:val="0"/>
          <w:color w:val="2E5395"/>
          <w:spacing w:val="-3"/>
        </w:rPr>
        <w:t> </w:t>
      </w:r>
      <w:r>
        <w:rPr>
          <w:b w:val="0"/>
          <w:color w:val="2E5395"/>
        </w:rPr>
        <w:t>documento</w:t>
      </w:r>
    </w:p>
    <w:p>
      <w:pPr>
        <w:spacing w:line="256" w:lineRule="auto" w:before="33"/>
        <w:ind w:left="792" w:right="146" w:firstLine="0"/>
        <w:jc w:val="left"/>
        <w:rPr>
          <w:sz w:val="18"/>
        </w:rPr>
      </w:pPr>
      <w:r>
        <w:rPr>
          <w:color w:val="1A1A2D"/>
          <w:sz w:val="18"/>
        </w:rPr>
        <w:t>El presente Registro de Actividades de Tratamiento (RAT) ha sido elaborado en cumplimiento del artículo 30 del Reglamento (UE) 2016/679 (RGPD) y de la Ley Orgánica 3/2018, de 5 de diciembre (LOPDGDD). Como entidad integrada en el sector público de la Comunidad Autónoma de Canarias, FUCAS está sujeta adicionalmente al artículo 31.2 LOPDGDD, que impone la publicación del RAT por medios electrónicos accesibles.</w:t>
      </w:r>
    </w:p>
    <w:p>
      <w:pPr>
        <w:spacing w:line="240" w:lineRule="auto" w:before="0"/>
        <w:rPr>
          <w:sz w:val="18"/>
        </w:rPr>
      </w:pPr>
    </w:p>
    <w:p>
      <w:pPr>
        <w:spacing w:line="240" w:lineRule="auto" w:before="0"/>
        <w:rPr>
          <w:sz w:val="18"/>
        </w:rPr>
      </w:pPr>
    </w:p>
    <w:p>
      <w:pPr>
        <w:spacing w:line="259" w:lineRule="auto" w:before="117"/>
        <w:ind w:left="792" w:right="192" w:firstLine="0"/>
        <w:jc w:val="left"/>
        <w:rPr>
          <w:sz w:val="18"/>
        </w:rPr>
      </w:pPr>
      <w:r>
        <w:rPr>
          <w:color w:val="1A1A2D"/>
          <w:sz w:val="18"/>
        </w:rPr>
        <w:t>FUCAS actúa tanto como RESPONSABLE del tratamiento (en los tratamientos propios derivados de su objeto fundacional y de su actividad como empleadora) como ENCARGADA del tratamiento (en los encargos de gestión que la Administración autonómica le encomienda como medio propio personificado). Ambas posiciones quedan claramente diferenciadas en cada ficha.</w:t>
      </w:r>
    </w:p>
    <w:p>
      <w:pPr>
        <w:spacing w:line="240" w:lineRule="auto" w:before="0"/>
        <w:rPr>
          <w:sz w:val="18"/>
        </w:rPr>
      </w:pPr>
    </w:p>
    <w:p>
      <w:pPr>
        <w:spacing w:line="240" w:lineRule="auto" w:before="12"/>
        <w:rPr>
          <w:sz w:val="26"/>
        </w:rPr>
      </w:pPr>
    </w:p>
    <w:p>
      <w:pPr>
        <w:spacing w:line="256" w:lineRule="auto" w:before="0"/>
        <w:ind w:left="792" w:right="443" w:firstLine="0"/>
        <w:jc w:val="left"/>
        <w:rPr>
          <w:sz w:val="18"/>
        </w:rPr>
      </w:pPr>
      <w:r>
        <w:rPr>
          <w:color w:val="1A1A2D"/>
          <w:sz w:val="18"/>
        </w:rPr>
        <w:t>La gran mayoría de los tratamientos de FUCAS implican categorías especiales de datos (salud, discapacidad) de personas especialmente vulnerables, lo que activa la obligación de realizar Evaluaciones de Impacto de Protección de Datos (EIPD) conforme al art. 35 RGPD.</w:t>
      </w: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0"/>
        <w:rPr>
          <w:sz w:val="27"/>
        </w:rPr>
      </w:pPr>
    </w:p>
    <w:p>
      <w:pPr>
        <w:spacing w:before="56"/>
        <w:ind w:left="647" w:right="0" w:firstLine="0"/>
        <w:jc w:val="center"/>
        <w:rPr>
          <w:sz w:val="22"/>
        </w:rPr>
      </w:pPr>
      <w:r>
        <w:rPr>
          <w:color w:val="4471C4"/>
          <w:w w:val="100"/>
          <w:sz w:val="22"/>
        </w:rPr>
        <w:t>3</w:t>
      </w:r>
    </w:p>
    <w:p>
      <w:pPr>
        <w:spacing w:after="0"/>
        <w:jc w:val="center"/>
        <w:rPr>
          <w:sz w:val="22"/>
        </w:rPr>
        <w:sectPr>
          <w:pgSz w:w="11910" w:h="16840"/>
          <w:pgMar w:top="1580" w:bottom="280" w:left="340" w:right="420"/>
        </w:sectPr>
      </w:pPr>
    </w:p>
    <w:p>
      <w:pPr>
        <w:spacing w:line="240" w:lineRule="auto" w:before="0"/>
        <w:rPr>
          <w:sz w:val="20"/>
        </w:rPr>
      </w:pPr>
      <w:r>
        <w:rPr/>
        <w:drawing>
          <wp:anchor distT="0" distB="0" distL="0" distR="0" allowOverlap="1" layoutInCell="1" locked="0" behindDoc="1" simplePos="0" relativeHeight="248496128">
            <wp:simplePos x="0" y="0"/>
            <wp:positionH relativeFrom="page">
              <wp:posOffset>0</wp:posOffset>
            </wp:positionH>
            <wp:positionV relativeFrom="page">
              <wp:posOffset>467773</wp:posOffset>
            </wp:positionV>
            <wp:extent cx="7110428" cy="9724105"/>
            <wp:effectExtent l="0" t="0" r="0" b="0"/>
            <wp:wrapNone/>
            <wp:docPr id="5" name="image1.png"/>
            <wp:cNvGraphicFramePr>
              <a:graphicFrameLocks noChangeAspect="1"/>
            </wp:cNvGraphicFramePr>
            <a:graphic>
              <a:graphicData uri="http://schemas.openxmlformats.org/drawingml/2006/picture">
                <pic:pic>
                  <pic:nvPicPr>
                    <pic:cNvPr id="6" name="image1.png"/>
                    <pic:cNvPicPr/>
                  </pic:nvPicPr>
                  <pic:blipFill>
                    <a:blip r:embed="rId5" cstate="print"/>
                    <a:stretch>
                      <a:fillRect/>
                    </a:stretch>
                  </pic:blipFill>
                  <pic:spPr>
                    <a:xfrm>
                      <a:off x="0" y="0"/>
                      <a:ext cx="7110428" cy="9724105"/>
                    </a:xfrm>
                    <a:prstGeom prst="rect">
                      <a:avLst/>
                    </a:prstGeom>
                  </pic:spPr>
                </pic:pic>
              </a:graphicData>
            </a:graphic>
          </wp:anchor>
        </w:drawing>
      </w:r>
    </w:p>
    <w:p>
      <w:pPr>
        <w:spacing w:line="240" w:lineRule="auto" w:before="0"/>
        <w:rPr>
          <w:sz w:val="20"/>
        </w:rPr>
      </w:pPr>
    </w:p>
    <w:p>
      <w:pPr>
        <w:pStyle w:val="Heading1"/>
        <w:numPr>
          <w:ilvl w:val="0"/>
          <w:numId w:val="6"/>
        </w:numPr>
        <w:tabs>
          <w:tab w:pos="1105" w:val="left" w:leader="none"/>
        </w:tabs>
        <w:spacing w:line="240" w:lineRule="auto" w:before="182" w:after="31"/>
        <w:ind w:left="1104" w:right="0" w:hanging="313"/>
        <w:jc w:val="left"/>
        <w:rPr>
          <w:b w:val="0"/>
        </w:rPr>
      </w:pPr>
      <w:r>
        <w:rPr>
          <w:b w:val="0"/>
          <w:color w:val="2E5395"/>
        </w:rPr>
        <w:t>Datos del Responsable del</w:t>
      </w:r>
      <w:r>
        <w:rPr>
          <w:b w:val="0"/>
          <w:color w:val="2E5395"/>
          <w:spacing w:val="-1"/>
        </w:rPr>
        <w:t> </w:t>
      </w:r>
      <w:r>
        <w:rPr>
          <w:b w:val="0"/>
          <w:color w:val="2E5395"/>
        </w:rPr>
        <w:t>Tratamiento</w:t>
      </w:r>
    </w:p>
    <w:tbl>
      <w:tblPr>
        <w:tblW w:w="0" w:type="auto"/>
        <w:jc w:val="left"/>
        <w:tblInd w:w="79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3402"/>
        <w:gridCol w:w="5960"/>
      </w:tblGrid>
      <w:tr>
        <w:trPr>
          <w:trHeight w:val="474" w:hRule="atLeast"/>
        </w:trPr>
        <w:tc>
          <w:tcPr>
            <w:tcW w:w="3402" w:type="dxa"/>
            <w:shd w:val="clear" w:color="auto" w:fill="C7DCEF"/>
          </w:tcPr>
          <w:p>
            <w:pPr>
              <w:pStyle w:val="TableParagraph"/>
              <w:spacing w:before="4"/>
              <w:ind w:left="132"/>
              <w:rPr>
                <w:b/>
                <w:sz w:val="17"/>
              </w:rPr>
            </w:pPr>
            <w:r>
              <w:rPr>
                <w:b/>
                <w:color w:val="1A3556"/>
                <w:sz w:val="17"/>
              </w:rPr>
              <w:t>Denominación</w:t>
            </w:r>
          </w:p>
        </w:tc>
        <w:tc>
          <w:tcPr>
            <w:tcW w:w="5960" w:type="dxa"/>
            <w:tcBorders>
              <w:top w:val="single" w:sz="34" w:space="0" w:color="FFFFFF"/>
            </w:tcBorders>
          </w:tcPr>
          <w:p>
            <w:pPr>
              <w:pStyle w:val="TableParagraph"/>
              <w:spacing w:line="217" w:lineRule="exact"/>
              <w:rPr>
                <w:sz w:val="18"/>
              </w:rPr>
            </w:pPr>
            <w:r>
              <w:rPr>
                <w:color w:val="1A1A2D"/>
                <w:sz w:val="18"/>
              </w:rPr>
              <w:t>Fundación Tutelar Canaria para la Acción Social, M.P. (FUCAS)</w:t>
            </w:r>
          </w:p>
        </w:tc>
      </w:tr>
      <w:tr>
        <w:trPr>
          <w:trHeight w:val="553" w:hRule="atLeast"/>
        </w:trPr>
        <w:tc>
          <w:tcPr>
            <w:tcW w:w="3402" w:type="dxa"/>
            <w:shd w:val="clear" w:color="auto" w:fill="C7DCEF"/>
          </w:tcPr>
          <w:p>
            <w:pPr>
              <w:pStyle w:val="TableParagraph"/>
              <w:spacing w:before="84"/>
              <w:ind w:left="132"/>
              <w:rPr>
                <w:b/>
                <w:sz w:val="17"/>
              </w:rPr>
            </w:pPr>
            <w:r>
              <w:rPr>
                <w:b/>
                <w:color w:val="1A3556"/>
                <w:sz w:val="17"/>
              </w:rPr>
              <w:t>CIF</w:t>
            </w:r>
          </w:p>
        </w:tc>
        <w:tc>
          <w:tcPr>
            <w:tcW w:w="5960" w:type="dxa"/>
            <w:tcBorders>
              <w:bottom w:val="single" w:sz="34" w:space="0" w:color="FFFFFF"/>
            </w:tcBorders>
            <w:shd w:val="clear" w:color="auto" w:fill="F4F6F8"/>
          </w:tcPr>
          <w:p>
            <w:pPr>
              <w:pStyle w:val="TableParagraph"/>
              <w:spacing w:before="77"/>
              <w:rPr>
                <w:sz w:val="18"/>
              </w:rPr>
            </w:pPr>
            <w:r>
              <w:rPr>
                <w:color w:val="1A1A2D"/>
                <w:sz w:val="18"/>
              </w:rPr>
              <w:t>G-35.405.836</w:t>
            </w:r>
          </w:p>
        </w:tc>
      </w:tr>
      <w:tr>
        <w:trPr>
          <w:trHeight w:val="474" w:hRule="atLeast"/>
        </w:trPr>
        <w:tc>
          <w:tcPr>
            <w:tcW w:w="3402" w:type="dxa"/>
            <w:shd w:val="clear" w:color="auto" w:fill="C7DCEF"/>
          </w:tcPr>
          <w:p>
            <w:pPr>
              <w:pStyle w:val="TableParagraph"/>
              <w:spacing w:before="2"/>
              <w:ind w:left="132"/>
              <w:rPr>
                <w:b/>
                <w:sz w:val="17"/>
              </w:rPr>
            </w:pPr>
            <w:r>
              <w:rPr>
                <w:b/>
                <w:color w:val="1A3556"/>
                <w:sz w:val="17"/>
              </w:rPr>
              <w:t>Nº Registro de Fundaciones de Canarias</w:t>
            </w:r>
          </w:p>
        </w:tc>
        <w:tc>
          <w:tcPr>
            <w:tcW w:w="5960" w:type="dxa"/>
            <w:tcBorders>
              <w:top w:val="single" w:sz="34" w:space="0" w:color="FFFFFF"/>
            </w:tcBorders>
          </w:tcPr>
          <w:p>
            <w:pPr>
              <w:pStyle w:val="TableParagraph"/>
              <w:spacing w:line="217" w:lineRule="exact"/>
              <w:rPr>
                <w:sz w:val="18"/>
              </w:rPr>
            </w:pPr>
            <w:r>
              <w:rPr>
                <w:color w:val="1A1A2D"/>
                <w:sz w:val="18"/>
              </w:rPr>
              <w:t>69</w:t>
            </w:r>
          </w:p>
        </w:tc>
      </w:tr>
      <w:tr>
        <w:trPr>
          <w:trHeight w:val="553" w:hRule="atLeast"/>
        </w:trPr>
        <w:tc>
          <w:tcPr>
            <w:tcW w:w="3402" w:type="dxa"/>
            <w:shd w:val="clear" w:color="auto" w:fill="C7DCEF"/>
          </w:tcPr>
          <w:p>
            <w:pPr>
              <w:pStyle w:val="TableParagraph"/>
              <w:spacing w:before="81"/>
              <w:ind w:left="132"/>
              <w:rPr>
                <w:b/>
                <w:sz w:val="17"/>
              </w:rPr>
            </w:pPr>
            <w:r>
              <w:rPr>
                <w:b/>
                <w:color w:val="1A3556"/>
                <w:sz w:val="17"/>
              </w:rPr>
              <w:t>Naturaleza jurídica</w:t>
            </w:r>
          </w:p>
        </w:tc>
        <w:tc>
          <w:tcPr>
            <w:tcW w:w="5960" w:type="dxa"/>
            <w:tcBorders>
              <w:bottom w:val="single" w:sz="34" w:space="0" w:color="FFFFFF"/>
            </w:tcBorders>
            <w:shd w:val="clear" w:color="auto" w:fill="F4F6F8"/>
          </w:tcPr>
          <w:p>
            <w:pPr>
              <w:pStyle w:val="TableParagraph"/>
              <w:spacing w:before="77"/>
              <w:rPr>
                <w:sz w:val="18"/>
              </w:rPr>
            </w:pPr>
            <w:r>
              <w:rPr>
                <w:color w:val="1A1A2D"/>
                <w:sz w:val="18"/>
              </w:rPr>
              <w:t>Fundación Pública del Gobierno de Canarias. Medio propio personificado.</w:t>
            </w:r>
          </w:p>
        </w:tc>
      </w:tr>
      <w:tr>
        <w:trPr>
          <w:trHeight w:val="474" w:hRule="atLeast"/>
        </w:trPr>
        <w:tc>
          <w:tcPr>
            <w:tcW w:w="3402" w:type="dxa"/>
            <w:shd w:val="clear" w:color="auto" w:fill="C7DCEF"/>
          </w:tcPr>
          <w:p>
            <w:pPr>
              <w:pStyle w:val="TableParagraph"/>
              <w:spacing w:before="2"/>
              <w:ind w:left="132"/>
              <w:rPr>
                <w:b/>
                <w:sz w:val="17"/>
              </w:rPr>
            </w:pPr>
            <w:r>
              <w:rPr>
                <w:b/>
                <w:color w:val="1A3556"/>
                <w:sz w:val="17"/>
              </w:rPr>
              <w:t>Consejería de adscripción</w:t>
            </w:r>
          </w:p>
        </w:tc>
        <w:tc>
          <w:tcPr>
            <w:tcW w:w="5960" w:type="dxa"/>
            <w:tcBorders>
              <w:top w:val="single" w:sz="34" w:space="0" w:color="FFFFFF"/>
            </w:tcBorders>
          </w:tcPr>
          <w:p>
            <w:pPr>
              <w:pStyle w:val="TableParagraph"/>
              <w:spacing w:line="217" w:lineRule="exact"/>
              <w:rPr>
                <w:sz w:val="18"/>
              </w:rPr>
            </w:pPr>
            <w:r>
              <w:rPr>
                <w:color w:val="1A1A2D"/>
                <w:sz w:val="18"/>
              </w:rPr>
              <w:t>Consejería de Bienestar Social, Igualdad, Juventud, Infancia y Familias</w:t>
            </w:r>
          </w:p>
        </w:tc>
      </w:tr>
      <w:tr>
        <w:trPr>
          <w:trHeight w:val="551" w:hRule="atLeast"/>
        </w:trPr>
        <w:tc>
          <w:tcPr>
            <w:tcW w:w="3402" w:type="dxa"/>
            <w:shd w:val="clear" w:color="auto" w:fill="C7DCEF"/>
          </w:tcPr>
          <w:p>
            <w:pPr>
              <w:pStyle w:val="TableParagraph"/>
              <w:spacing w:before="82"/>
              <w:ind w:left="132"/>
              <w:rPr>
                <w:b/>
                <w:sz w:val="17"/>
              </w:rPr>
            </w:pPr>
            <w:r>
              <w:rPr>
                <w:b/>
                <w:color w:val="1A3556"/>
                <w:sz w:val="17"/>
              </w:rPr>
              <w:t>Domicilio social</w:t>
            </w:r>
          </w:p>
        </w:tc>
        <w:tc>
          <w:tcPr>
            <w:tcW w:w="5960" w:type="dxa"/>
            <w:tcBorders>
              <w:bottom w:val="single" w:sz="34" w:space="0" w:color="FFFFFF"/>
            </w:tcBorders>
            <w:shd w:val="clear" w:color="auto" w:fill="F4F6F8"/>
          </w:tcPr>
          <w:p>
            <w:pPr>
              <w:pStyle w:val="TableParagraph"/>
              <w:spacing w:before="77"/>
              <w:rPr>
                <w:sz w:val="18"/>
              </w:rPr>
            </w:pPr>
            <w:r>
              <w:rPr>
                <w:color w:val="1A1A2D"/>
                <w:sz w:val="18"/>
              </w:rPr>
              <w:t>Calle Goya nº 6, Tafira Alta, Las Palmas de Gran Canaria</w:t>
            </w:r>
          </w:p>
        </w:tc>
      </w:tr>
      <w:tr>
        <w:trPr>
          <w:trHeight w:val="474" w:hRule="atLeast"/>
        </w:trPr>
        <w:tc>
          <w:tcPr>
            <w:tcW w:w="3402" w:type="dxa"/>
            <w:shd w:val="clear" w:color="auto" w:fill="C7DCEF"/>
          </w:tcPr>
          <w:p>
            <w:pPr>
              <w:pStyle w:val="TableParagraph"/>
              <w:spacing w:before="4"/>
              <w:ind w:left="132"/>
              <w:rPr>
                <w:b/>
                <w:sz w:val="17"/>
              </w:rPr>
            </w:pPr>
            <w:r>
              <w:rPr>
                <w:b/>
                <w:color w:val="1A3556"/>
                <w:sz w:val="17"/>
              </w:rPr>
              <w:t>Domicilio administrativo</w:t>
            </w:r>
          </w:p>
        </w:tc>
        <w:tc>
          <w:tcPr>
            <w:tcW w:w="5960" w:type="dxa"/>
            <w:tcBorders>
              <w:top w:val="single" w:sz="34" w:space="0" w:color="FFFFFF"/>
            </w:tcBorders>
          </w:tcPr>
          <w:p>
            <w:pPr>
              <w:pStyle w:val="TableParagraph"/>
              <w:spacing w:line="219" w:lineRule="exact"/>
              <w:rPr>
                <w:sz w:val="18"/>
              </w:rPr>
            </w:pPr>
            <w:r>
              <w:rPr>
                <w:color w:val="1A1A2D"/>
                <w:sz w:val="18"/>
              </w:rPr>
              <w:t>Avda. Primero de Mayo, 12, 2º Dcha., 35001 Las Palmas de Gran Canaria</w:t>
            </w:r>
          </w:p>
        </w:tc>
      </w:tr>
      <w:tr>
        <w:trPr>
          <w:trHeight w:val="553" w:hRule="atLeast"/>
        </w:trPr>
        <w:tc>
          <w:tcPr>
            <w:tcW w:w="3402" w:type="dxa"/>
            <w:shd w:val="clear" w:color="auto" w:fill="C7DCEF"/>
          </w:tcPr>
          <w:p>
            <w:pPr>
              <w:pStyle w:val="TableParagraph"/>
              <w:spacing w:before="84"/>
              <w:ind w:left="132"/>
              <w:rPr>
                <w:b/>
                <w:sz w:val="17"/>
              </w:rPr>
            </w:pPr>
            <w:r>
              <w:rPr>
                <w:b/>
                <w:color w:val="1A3556"/>
                <w:sz w:val="17"/>
              </w:rPr>
              <w:t>Teléfono</w:t>
            </w:r>
          </w:p>
        </w:tc>
        <w:tc>
          <w:tcPr>
            <w:tcW w:w="5960" w:type="dxa"/>
            <w:tcBorders>
              <w:bottom w:val="single" w:sz="34" w:space="0" w:color="FFFFFF"/>
            </w:tcBorders>
            <w:shd w:val="clear" w:color="auto" w:fill="F4F6F8"/>
          </w:tcPr>
          <w:p>
            <w:pPr>
              <w:pStyle w:val="TableParagraph"/>
              <w:spacing w:before="79"/>
              <w:rPr>
                <w:sz w:val="18"/>
              </w:rPr>
            </w:pPr>
            <w:r>
              <w:rPr>
                <w:color w:val="1A1A2D"/>
                <w:sz w:val="18"/>
              </w:rPr>
              <w:t>928 430 346 / 667 696 940</w:t>
            </w:r>
          </w:p>
        </w:tc>
      </w:tr>
      <w:tr>
        <w:trPr>
          <w:trHeight w:val="474" w:hRule="atLeast"/>
        </w:trPr>
        <w:tc>
          <w:tcPr>
            <w:tcW w:w="3402" w:type="dxa"/>
            <w:shd w:val="clear" w:color="auto" w:fill="C7DCEF"/>
          </w:tcPr>
          <w:p>
            <w:pPr>
              <w:pStyle w:val="TableParagraph"/>
              <w:spacing w:before="4"/>
              <w:ind w:left="132"/>
              <w:rPr>
                <w:b/>
                <w:sz w:val="17"/>
              </w:rPr>
            </w:pPr>
            <w:r>
              <w:rPr>
                <w:b/>
                <w:color w:val="1A3556"/>
                <w:sz w:val="17"/>
              </w:rPr>
              <w:t>Correo electrónico gerencia</w:t>
            </w:r>
          </w:p>
        </w:tc>
        <w:tc>
          <w:tcPr>
            <w:tcW w:w="5960" w:type="dxa"/>
            <w:tcBorders>
              <w:top w:val="single" w:sz="34" w:space="0" w:color="FFFFFF"/>
            </w:tcBorders>
          </w:tcPr>
          <w:p>
            <w:pPr>
              <w:pStyle w:val="TableParagraph"/>
              <w:spacing w:line="219" w:lineRule="exact"/>
              <w:rPr>
                <w:sz w:val="18"/>
              </w:rPr>
            </w:pPr>
            <w:hyperlink r:id="rId6">
              <w:r>
                <w:rPr>
                  <w:color w:val="1A1A2D"/>
                  <w:sz w:val="18"/>
                </w:rPr>
                <w:t>gerencia@fucas.org</w:t>
              </w:r>
            </w:hyperlink>
          </w:p>
        </w:tc>
      </w:tr>
      <w:tr>
        <w:trPr>
          <w:trHeight w:val="553" w:hRule="atLeast"/>
        </w:trPr>
        <w:tc>
          <w:tcPr>
            <w:tcW w:w="3402" w:type="dxa"/>
            <w:shd w:val="clear" w:color="auto" w:fill="C7DCEF"/>
          </w:tcPr>
          <w:p>
            <w:pPr>
              <w:pStyle w:val="TableParagraph"/>
              <w:spacing w:before="84"/>
              <w:ind w:left="132"/>
              <w:rPr>
                <w:b/>
                <w:sz w:val="17"/>
              </w:rPr>
            </w:pPr>
            <w:r>
              <w:rPr>
                <w:b/>
                <w:color w:val="1A3556"/>
                <w:sz w:val="17"/>
              </w:rPr>
              <w:t>Persona de contacto</w:t>
            </w:r>
          </w:p>
        </w:tc>
        <w:tc>
          <w:tcPr>
            <w:tcW w:w="5960" w:type="dxa"/>
            <w:tcBorders>
              <w:bottom w:val="single" w:sz="34" w:space="0" w:color="FFFFFF"/>
            </w:tcBorders>
            <w:shd w:val="clear" w:color="auto" w:fill="F4F6F8"/>
          </w:tcPr>
          <w:p>
            <w:pPr>
              <w:pStyle w:val="TableParagraph"/>
              <w:spacing w:before="79"/>
              <w:rPr>
                <w:sz w:val="18"/>
              </w:rPr>
            </w:pPr>
            <w:r>
              <w:rPr>
                <w:color w:val="1A1A2D"/>
                <w:sz w:val="18"/>
              </w:rPr>
              <w:t>Estefanía González Palacios </w:t>
            </w:r>
            <w:hyperlink r:id="rId7">
              <w:r>
                <w:rPr>
                  <w:color w:val="1A1A2D"/>
                  <w:sz w:val="18"/>
                </w:rPr>
                <w:t>-areajuridicasg@fucas.org</w:t>
              </w:r>
            </w:hyperlink>
          </w:p>
        </w:tc>
      </w:tr>
      <w:tr>
        <w:trPr>
          <w:trHeight w:val="474" w:hRule="atLeast"/>
        </w:trPr>
        <w:tc>
          <w:tcPr>
            <w:tcW w:w="3402" w:type="dxa"/>
            <w:shd w:val="clear" w:color="auto" w:fill="C7DCEF"/>
          </w:tcPr>
          <w:p>
            <w:pPr>
              <w:pStyle w:val="TableParagraph"/>
              <w:spacing w:before="4"/>
              <w:ind w:left="132"/>
              <w:rPr>
                <w:b/>
                <w:sz w:val="17"/>
              </w:rPr>
            </w:pPr>
            <w:r>
              <w:rPr>
                <w:b/>
                <w:color w:val="1A3556"/>
                <w:sz w:val="17"/>
              </w:rPr>
              <w:t>Sitio web</w:t>
            </w:r>
          </w:p>
        </w:tc>
        <w:tc>
          <w:tcPr>
            <w:tcW w:w="5960" w:type="dxa"/>
            <w:tcBorders>
              <w:top w:val="single" w:sz="34" w:space="0" w:color="FFFFFF"/>
            </w:tcBorders>
          </w:tcPr>
          <w:p>
            <w:pPr>
              <w:pStyle w:val="TableParagraph"/>
              <w:spacing w:line="219" w:lineRule="exact"/>
              <w:rPr>
                <w:sz w:val="18"/>
              </w:rPr>
            </w:pPr>
            <w:r>
              <w:rPr>
                <w:color w:val="1A1A2D"/>
                <w:sz w:val="18"/>
              </w:rPr>
              <w:t>https</w:t>
            </w:r>
            <w:hyperlink r:id="rId8">
              <w:r>
                <w:rPr>
                  <w:color w:val="1A1A2D"/>
                  <w:sz w:val="18"/>
                </w:rPr>
                <w:t>://w</w:t>
              </w:r>
            </w:hyperlink>
            <w:r>
              <w:rPr>
                <w:color w:val="1A1A2D"/>
                <w:sz w:val="18"/>
              </w:rPr>
              <w:t>ww</w:t>
            </w:r>
            <w:hyperlink r:id="rId8">
              <w:r>
                <w:rPr>
                  <w:color w:val="1A1A2D"/>
                  <w:sz w:val="18"/>
                </w:rPr>
                <w:t>.fucas.org</w:t>
              </w:r>
            </w:hyperlink>
          </w:p>
        </w:tc>
      </w:tr>
    </w:tbl>
    <w:p>
      <w:pPr>
        <w:pStyle w:val="BodyText"/>
        <w:rPr>
          <w:rFonts w:ascii="Calibri Light"/>
          <w:b w:val="0"/>
          <w:sz w:val="32"/>
        </w:rPr>
      </w:pPr>
    </w:p>
    <w:p>
      <w:pPr>
        <w:spacing w:line="211" w:lineRule="auto" w:before="249"/>
        <w:ind w:left="780" w:right="5597" w:firstLine="0"/>
        <w:jc w:val="left"/>
        <w:rPr>
          <w:rFonts w:ascii="Courier New" w:hAnsi="Courier New"/>
          <w:sz w:val="24"/>
        </w:rPr>
      </w:pPr>
      <w:r>
        <w:rPr>
          <w:rFonts w:ascii="Courier New" w:hAnsi="Courier New"/>
          <w:sz w:val="24"/>
        </w:rPr>
        <w:t>Firmado por ***4909** INMACULADA ESTHER DIAZ (R: ****0583*) el día 02/09/2026 con un certificado emitido por AC Representación</w:t>
      </w:r>
    </w:p>
    <w:p>
      <w:pPr>
        <w:pStyle w:val="BodyText"/>
        <w:rPr>
          <w:rFonts w:ascii="Courier New"/>
          <w:b w:val="0"/>
          <w:sz w:val="20"/>
        </w:rPr>
      </w:pPr>
    </w:p>
    <w:p>
      <w:pPr>
        <w:pStyle w:val="BodyText"/>
        <w:rPr>
          <w:rFonts w:ascii="Courier New"/>
          <w:b w:val="0"/>
          <w:sz w:val="20"/>
        </w:rPr>
      </w:pPr>
    </w:p>
    <w:p>
      <w:pPr>
        <w:pStyle w:val="BodyText"/>
        <w:rPr>
          <w:rFonts w:ascii="Courier New"/>
          <w:b w:val="0"/>
          <w:sz w:val="20"/>
        </w:rPr>
      </w:pPr>
    </w:p>
    <w:p>
      <w:pPr>
        <w:pStyle w:val="BodyText"/>
        <w:rPr>
          <w:rFonts w:ascii="Courier New"/>
          <w:b w:val="0"/>
          <w:sz w:val="20"/>
        </w:rPr>
      </w:pPr>
    </w:p>
    <w:p>
      <w:pPr>
        <w:pStyle w:val="BodyText"/>
        <w:rPr>
          <w:rFonts w:ascii="Courier New"/>
          <w:b w:val="0"/>
          <w:sz w:val="20"/>
        </w:rPr>
      </w:pPr>
    </w:p>
    <w:p>
      <w:pPr>
        <w:pStyle w:val="BodyText"/>
        <w:rPr>
          <w:rFonts w:ascii="Courier New"/>
          <w:b w:val="0"/>
          <w:sz w:val="20"/>
        </w:rPr>
      </w:pPr>
    </w:p>
    <w:p>
      <w:pPr>
        <w:pStyle w:val="BodyText"/>
        <w:rPr>
          <w:rFonts w:ascii="Courier New"/>
          <w:b w:val="0"/>
          <w:sz w:val="20"/>
        </w:rPr>
      </w:pPr>
    </w:p>
    <w:p>
      <w:pPr>
        <w:pStyle w:val="BodyText"/>
        <w:rPr>
          <w:rFonts w:ascii="Courier New"/>
          <w:b w:val="0"/>
          <w:sz w:val="20"/>
        </w:rPr>
      </w:pPr>
    </w:p>
    <w:p>
      <w:pPr>
        <w:pStyle w:val="BodyText"/>
        <w:rPr>
          <w:rFonts w:ascii="Courier New"/>
          <w:b w:val="0"/>
          <w:sz w:val="20"/>
        </w:rPr>
      </w:pPr>
    </w:p>
    <w:p>
      <w:pPr>
        <w:pStyle w:val="BodyText"/>
        <w:rPr>
          <w:rFonts w:ascii="Courier New"/>
          <w:b w:val="0"/>
          <w:sz w:val="20"/>
        </w:rPr>
      </w:pPr>
    </w:p>
    <w:p>
      <w:pPr>
        <w:pStyle w:val="BodyText"/>
        <w:rPr>
          <w:rFonts w:ascii="Courier New"/>
          <w:b w:val="0"/>
          <w:sz w:val="20"/>
        </w:rPr>
      </w:pPr>
    </w:p>
    <w:p>
      <w:pPr>
        <w:pStyle w:val="BodyText"/>
        <w:rPr>
          <w:rFonts w:ascii="Courier New"/>
          <w:b w:val="0"/>
          <w:sz w:val="20"/>
        </w:rPr>
      </w:pPr>
    </w:p>
    <w:p>
      <w:pPr>
        <w:pStyle w:val="BodyText"/>
        <w:rPr>
          <w:rFonts w:ascii="Courier New"/>
          <w:b w:val="0"/>
          <w:sz w:val="20"/>
        </w:rPr>
      </w:pPr>
    </w:p>
    <w:p>
      <w:pPr>
        <w:pStyle w:val="BodyText"/>
        <w:rPr>
          <w:rFonts w:ascii="Courier New"/>
          <w:b w:val="0"/>
          <w:sz w:val="20"/>
        </w:rPr>
      </w:pPr>
    </w:p>
    <w:p>
      <w:pPr>
        <w:pStyle w:val="BodyText"/>
        <w:rPr>
          <w:rFonts w:ascii="Courier New"/>
          <w:b w:val="0"/>
          <w:sz w:val="20"/>
        </w:rPr>
      </w:pPr>
    </w:p>
    <w:p>
      <w:pPr>
        <w:pStyle w:val="BodyText"/>
        <w:rPr>
          <w:rFonts w:ascii="Courier New"/>
          <w:b w:val="0"/>
          <w:sz w:val="20"/>
        </w:rPr>
      </w:pPr>
    </w:p>
    <w:p>
      <w:pPr>
        <w:pStyle w:val="BodyText"/>
        <w:rPr>
          <w:rFonts w:ascii="Courier New"/>
          <w:b w:val="0"/>
          <w:sz w:val="20"/>
        </w:rPr>
      </w:pPr>
    </w:p>
    <w:p>
      <w:pPr>
        <w:pStyle w:val="BodyText"/>
        <w:rPr>
          <w:rFonts w:ascii="Courier New"/>
          <w:b w:val="0"/>
          <w:sz w:val="20"/>
        </w:rPr>
      </w:pPr>
    </w:p>
    <w:p>
      <w:pPr>
        <w:pStyle w:val="BodyText"/>
        <w:rPr>
          <w:rFonts w:ascii="Courier New"/>
          <w:b w:val="0"/>
          <w:sz w:val="20"/>
        </w:rPr>
      </w:pPr>
    </w:p>
    <w:p>
      <w:pPr>
        <w:pStyle w:val="BodyText"/>
        <w:rPr>
          <w:rFonts w:ascii="Courier New"/>
          <w:b w:val="0"/>
          <w:sz w:val="20"/>
        </w:rPr>
      </w:pPr>
    </w:p>
    <w:p>
      <w:pPr>
        <w:pStyle w:val="BodyText"/>
        <w:rPr>
          <w:rFonts w:ascii="Courier New"/>
          <w:b w:val="0"/>
          <w:sz w:val="20"/>
        </w:rPr>
      </w:pPr>
    </w:p>
    <w:p>
      <w:pPr>
        <w:pStyle w:val="BodyText"/>
        <w:rPr>
          <w:rFonts w:ascii="Courier New"/>
          <w:b w:val="0"/>
          <w:sz w:val="20"/>
        </w:rPr>
      </w:pPr>
    </w:p>
    <w:p>
      <w:pPr>
        <w:spacing w:before="170"/>
        <w:ind w:left="647" w:right="0" w:firstLine="0"/>
        <w:jc w:val="center"/>
        <w:rPr>
          <w:sz w:val="22"/>
        </w:rPr>
      </w:pPr>
      <w:r>
        <w:rPr>
          <w:color w:val="4471C4"/>
          <w:w w:val="100"/>
          <w:sz w:val="22"/>
        </w:rPr>
        <w:t>4</w:t>
      </w:r>
    </w:p>
    <w:p>
      <w:pPr>
        <w:spacing w:after="0"/>
        <w:jc w:val="center"/>
        <w:rPr>
          <w:sz w:val="22"/>
        </w:rPr>
        <w:sectPr>
          <w:pgSz w:w="11910" w:h="16840"/>
          <w:pgMar w:top="1580" w:bottom="280" w:left="340" w:right="420"/>
        </w:sectPr>
      </w:pPr>
    </w:p>
    <w:p>
      <w:pPr>
        <w:spacing w:line="240" w:lineRule="auto" w:before="0"/>
        <w:rPr>
          <w:sz w:val="20"/>
        </w:rPr>
      </w:pPr>
      <w:r>
        <w:rPr/>
        <w:drawing>
          <wp:anchor distT="0" distB="0" distL="0" distR="0" allowOverlap="1" layoutInCell="1" locked="0" behindDoc="1" simplePos="0" relativeHeight="248497152">
            <wp:simplePos x="0" y="0"/>
            <wp:positionH relativeFrom="page">
              <wp:posOffset>0</wp:posOffset>
            </wp:positionH>
            <wp:positionV relativeFrom="page">
              <wp:posOffset>467771</wp:posOffset>
            </wp:positionV>
            <wp:extent cx="7110428" cy="9724101"/>
            <wp:effectExtent l="0" t="0" r="0" b="0"/>
            <wp:wrapNone/>
            <wp:docPr id="7" name="image1.png"/>
            <wp:cNvGraphicFramePr>
              <a:graphicFrameLocks noChangeAspect="1"/>
            </wp:cNvGraphicFramePr>
            <a:graphic>
              <a:graphicData uri="http://schemas.openxmlformats.org/drawingml/2006/picture">
                <pic:pic>
                  <pic:nvPicPr>
                    <pic:cNvPr id="8" name="image1.png"/>
                    <pic:cNvPicPr/>
                  </pic:nvPicPr>
                  <pic:blipFill>
                    <a:blip r:embed="rId5" cstate="print"/>
                    <a:stretch>
                      <a:fillRect/>
                    </a:stretch>
                  </pic:blipFill>
                  <pic:spPr>
                    <a:xfrm>
                      <a:off x="0" y="0"/>
                      <a:ext cx="7110428" cy="9724101"/>
                    </a:xfrm>
                    <a:prstGeom prst="rect">
                      <a:avLst/>
                    </a:prstGeom>
                  </pic:spPr>
                </pic:pic>
              </a:graphicData>
            </a:graphic>
          </wp:anchor>
        </w:drawing>
      </w:r>
    </w:p>
    <w:p>
      <w:pPr>
        <w:spacing w:line="240" w:lineRule="auto" w:before="0"/>
        <w:rPr>
          <w:sz w:val="20"/>
        </w:rPr>
      </w:pPr>
    </w:p>
    <w:p>
      <w:pPr>
        <w:pStyle w:val="Heading1"/>
        <w:numPr>
          <w:ilvl w:val="0"/>
          <w:numId w:val="6"/>
        </w:numPr>
        <w:tabs>
          <w:tab w:pos="1105" w:val="left" w:leader="none"/>
        </w:tabs>
        <w:spacing w:line="240" w:lineRule="auto" w:before="182" w:after="0"/>
        <w:ind w:left="1104" w:right="0" w:hanging="313"/>
        <w:jc w:val="left"/>
        <w:rPr>
          <w:b w:val="0"/>
        </w:rPr>
      </w:pPr>
      <w:r>
        <w:rPr>
          <w:b w:val="0"/>
          <w:color w:val="2E5395"/>
        </w:rPr>
        <w:t>Datos del Delegado de Protección de Datos</w:t>
      </w:r>
      <w:r>
        <w:rPr>
          <w:b w:val="0"/>
          <w:color w:val="2E5395"/>
          <w:spacing w:val="-6"/>
        </w:rPr>
        <w:t> </w:t>
      </w:r>
      <w:r>
        <w:rPr>
          <w:b w:val="0"/>
          <w:color w:val="2E5395"/>
        </w:rPr>
        <w:t>(DPD)</w:t>
      </w:r>
    </w:p>
    <w:p>
      <w:pPr>
        <w:spacing w:before="30"/>
        <w:ind w:left="792" w:right="0" w:firstLine="0"/>
        <w:jc w:val="left"/>
        <w:rPr>
          <w:sz w:val="18"/>
        </w:rPr>
      </w:pPr>
      <w:r>
        <w:rPr>
          <w:color w:val="1A1A2D"/>
          <w:sz w:val="18"/>
        </w:rPr>
        <w:t>Conforme al art. 37.1.a) RGPD y al art. 34 LOPDGDD, FUCAS está obligada a designar un DPD. Sus datos de contacto:</w:t>
      </w:r>
    </w:p>
    <w:p>
      <w:pPr>
        <w:spacing w:line="240" w:lineRule="auto" w:before="0"/>
        <w:rPr>
          <w:sz w:val="20"/>
        </w:rPr>
      </w:pPr>
    </w:p>
    <w:p>
      <w:pPr>
        <w:spacing w:line="240" w:lineRule="auto" w:before="7" w:after="0"/>
        <w:rPr>
          <w:sz w:val="26"/>
        </w:rPr>
      </w:pPr>
    </w:p>
    <w:tbl>
      <w:tblPr>
        <w:tblW w:w="0" w:type="auto"/>
        <w:jc w:val="left"/>
        <w:tblInd w:w="79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3402"/>
        <w:gridCol w:w="5960"/>
      </w:tblGrid>
      <w:tr>
        <w:trPr>
          <w:trHeight w:val="554" w:hRule="atLeast"/>
        </w:trPr>
        <w:tc>
          <w:tcPr>
            <w:tcW w:w="3402" w:type="dxa"/>
            <w:shd w:val="clear" w:color="auto" w:fill="C7DCEF"/>
          </w:tcPr>
          <w:p>
            <w:pPr>
              <w:pStyle w:val="TableParagraph"/>
              <w:spacing w:before="81"/>
              <w:ind w:left="132"/>
              <w:rPr>
                <w:b/>
                <w:sz w:val="17"/>
              </w:rPr>
            </w:pPr>
            <w:r>
              <w:rPr>
                <w:b/>
                <w:color w:val="1A3556"/>
                <w:sz w:val="17"/>
              </w:rPr>
              <w:t>Modalidad</w:t>
            </w:r>
          </w:p>
        </w:tc>
        <w:tc>
          <w:tcPr>
            <w:tcW w:w="5960" w:type="dxa"/>
            <w:shd w:val="clear" w:color="auto" w:fill="F4F6F8"/>
          </w:tcPr>
          <w:p>
            <w:pPr>
              <w:pStyle w:val="TableParagraph"/>
              <w:spacing w:before="77"/>
              <w:rPr>
                <w:sz w:val="18"/>
              </w:rPr>
            </w:pPr>
            <w:r>
              <w:rPr>
                <w:color w:val="1A1A2D"/>
                <w:sz w:val="18"/>
              </w:rPr>
              <w:t>Interno</w:t>
            </w:r>
          </w:p>
        </w:tc>
      </w:tr>
      <w:tr>
        <w:trPr>
          <w:trHeight w:val="551" w:hRule="atLeast"/>
        </w:trPr>
        <w:tc>
          <w:tcPr>
            <w:tcW w:w="3402" w:type="dxa"/>
            <w:shd w:val="clear" w:color="auto" w:fill="C7DCEF"/>
          </w:tcPr>
          <w:p>
            <w:pPr>
              <w:pStyle w:val="TableParagraph"/>
              <w:spacing w:before="81"/>
              <w:ind w:left="132"/>
              <w:rPr>
                <w:b/>
                <w:sz w:val="17"/>
              </w:rPr>
            </w:pPr>
            <w:r>
              <w:rPr>
                <w:b/>
                <w:color w:val="1A3556"/>
                <w:sz w:val="17"/>
              </w:rPr>
              <w:t>Dirección de contacto</w:t>
            </w:r>
          </w:p>
        </w:tc>
        <w:tc>
          <w:tcPr>
            <w:tcW w:w="5960" w:type="dxa"/>
          </w:tcPr>
          <w:p>
            <w:pPr>
              <w:pStyle w:val="TableParagraph"/>
              <w:spacing w:before="77"/>
              <w:rPr>
                <w:sz w:val="18"/>
              </w:rPr>
            </w:pPr>
            <w:r>
              <w:rPr>
                <w:color w:val="1A1A2D"/>
                <w:sz w:val="18"/>
              </w:rPr>
              <w:t>C/ Goya, 6. CP 35002 – Las Palmas de Gran Canaria</w:t>
            </w:r>
          </w:p>
        </w:tc>
      </w:tr>
      <w:tr>
        <w:trPr>
          <w:trHeight w:val="554" w:hRule="atLeast"/>
        </w:trPr>
        <w:tc>
          <w:tcPr>
            <w:tcW w:w="3402" w:type="dxa"/>
            <w:shd w:val="clear" w:color="auto" w:fill="C7DCEF"/>
          </w:tcPr>
          <w:p>
            <w:pPr>
              <w:pStyle w:val="TableParagraph"/>
              <w:spacing w:before="84"/>
              <w:ind w:left="132"/>
              <w:rPr>
                <w:b/>
                <w:sz w:val="17"/>
              </w:rPr>
            </w:pPr>
            <w:r>
              <w:rPr>
                <w:b/>
                <w:color w:val="1A3556"/>
                <w:sz w:val="17"/>
              </w:rPr>
              <w:t>Correo electrónico</w:t>
            </w:r>
          </w:p>
        </w:tc>
        <w:tc>
          <w:tcPr>
            <w:tcW w:w="5960" w:type="dxa"/>
            <w:shd w:val="clear" w:color="auto" w:fill="F4F6F8"/>
          </w:tcPr>
          <w:p>
            <w:pPr>
              <w:pStyle w:val="TableParagraph"/>
              <w:spacing w:before="79"/>
              <w:rPr>
                <w:sz w:val="18"/>
              </w:rPr>
            </w:pPr>
            <w:hyperlink r:id="rId9">
              <w:r>
                <w:rPr>
                  <w:sz w:val="18"/>
                </w:rPr>
                <w:t>areajuridicasg@fucas.org</w:t>
              </w:r>
            </w:hyperlink>
          </w:p>
        </w:tc>
      </w:tr>
      <w:tr>
        <w:trPr>
          <w:trHeight w:val="554" w:hRule="atLeast"/>
        </w:trPr>
        <w:tc>
          <w:tcPr>
            <w:tcW w:w="3402" w:type="dxa"/>
            <w:shd w:val="clear" w:color="auto" w:fill="C7DCEF"/>
          </w:tcPr>
          <w:p>
            <w:pPr>
              <w:pStyle w:val="TableParagraph"/>
              <w:spacing w:before="84"/>
              <w:ind w:left="132"/>
              <w:rPr>
                <w:b/>
                <w:sz w:val="17"/>
              </w:rPr>
            </w:pPr>
            <w:r>
              <w:rPr>
                <w:b/>
                <w:color w:val="1A3556"/>
                <w:sz w:val="17"/>
              </w:rPr>
              <w:t>Inscripción en AEPD</w:t>
            </w:r>
          </w:p>
        </w:tc>
        <w:tc>
          <w:tcPr>
            <w:tcW w:w="5960" w:type="dxa"/>
            <w:shd w:val="clear" w:color="auto" w:fill="F4F6F8"/>
          </w:tcPr>
          <w:p>
            <w:pPr>
              <w:pStyle w:val="TableParagraph"/>
              <w:spacing w:before="79"/>
              <w:rPr>
                <w:sz w:val="18"/>
              </w:rPr>
            </w:pPr>
            <w:r>
              <w:rPr>
                <w:color w:val="1A1A2D"/>
                <w:sz w:val="18"/>
              </w:rPr>
              <w:t>Sí – conforme al art. 37.7 RGPD y art. 34.2 LOPDGDD</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8"/>
        <w:rPr>
          <w:sz w:val="24"/>
        </w:rPr>
      </w:pPr>
    </w:p>
    <w:p>
      <w:pPr>
        <w:spacing w:before="56"/>
        <w:ind w:left="647" w:right="0" w:firstLine="0"/>
        <w:jc w:val="center"/>
        <w:rPr>
          <w:sz w:val="22"/>
        </w:rPr>
      </w:pPr>
      <w:r>
        <w:rPr>
          <w:color w:val="4471C4"/>
          <w:w w:val="100"/>
          <w:sz w:val="22"/>
        </w:rPr>
        <w:t>5</w:t>
      </w:r>
    </w:p>
    <w:p>
      <w:pPr>
        <w:spacing w:after="0"/>
        <w:jc w:val="center"/>
        <w:rPr>
          <w:sz w:val="22"/>
        </w:rPr>
        <w:sectPr>
          <w:pgSz w:w="11910" w:h="16840"/>
          <w:pgMar w:top="1580" w:bottom="280" w:left="340" w:right="420"/>
        </w:sectPr>
      </w:pPr>
    </w:p>
    <w:p>
      <w:pPr>
        <w:spacing w:line="240" w:lineRule="auto" w:before="0"/>
        <w:rPr>
          <w:sz w:val="20"/>
        </w:rPr>
      </w:pPr>
      <w:r>
        <w:rPr/>
        <w:pict>
          <v:group style="position:absolute;margin-left:.000009pt;margin-top:36.832428pt;width:568.450pt;height:765.7pt;mso-position-horizontal-relative:page;mso-position-vertical-relative:page;z-index:-254816256" coordorigin="0,737" coordsize="11369,15314">
            <v:shape style="position:absolute;left:0;top:736;width:11198;height:15314" type="#_x0000_t75" stroked="false">
              <v:imagedata r:id="rId5" o:title=""/>
            </v:shape>
            <v:shape style="position:absolute;left:1104;top:3180;width:10265;height:356" coordorigin="1104,3180" coordsize="10265,356" path="m11368,3516l1104,3516,1104,3536,11368,3536,11368,3516m11368,3180l1104,3180,1104,3200,11368,3200,11368,3180e" filled="true" fillcolor="#aaaaaa" stroked="false">
              <v:path arrowok="t"/>
              <v:fill type="solid"/>
            </v:shape>
            <v:line style="position:absolute" from="1085,4148" to="1085,4436" stroked="true" strokeweight="1.92pt" strokecolor="#1a3556">
              <v:stroke dashstyle="solid"/>
            </v:line>
            <w10:wrap type="none"/>
          </v:group>
        </w:pict>
      </w:r>
    </w:p>
    <w:p>
      <w:pPr>
        <w:spacing w:line="240" w:lineRule="auto" w:before="0"/>
        <w:rPr>
          <w:sz w:val="20"/>
        </w:rPr>
      </w:pPr>
    </w:p>
    <w:p>
      <w:pPr>
        <w:pStyle w:val="Heading1"/>
        <w:numPr>
          <w:ilvl w:val="0"/>
          <w:numId w:val="6"/>
        </w:numPr>
        <w:tabs>
          <w:tab w:pos="1105" w:val="left" w:leader="none"/>
        </w:tabs>
        <w:spacing w:line="240" w:lineRule="auto" w:before="182" w:after="0"/>
        <w:ind w:left="1104" w:right="0" w:hanging="313"/>
        <w:jc w:val="left"/>
        <w:rPr>
          <w:b w:val="0"/>
        </w:rPr>
      </w:pPr>
      <w:r>
        <w:rPr>
          <w:b w:val="0"/>
          <w:color w:val="2E5395"/>
        </w:rPr>
        <w:t>Fichas de actividades de</w:t>
      </w:r>
      <w:r>
        <w:rPr>
          <w:b w:val="0"/>
          <w:color w:val="2E5395"/>
          <w:spacing w:val="-2"/>
        </w:rPr>
        <w:t> </w:t>
      </w:r>
      <w:r>
        <w:rPr>
          <w:b w:val="0"/>
          <w:color w:val="2E5395"/>
        </w:rPr>
        <w:t>tratamiento</w:t>
      </w:r>
    </w:p>
    <w:p>
      <w:pPr>
        <w:pStyle w:val="BodyText"/>
        <w:rPr>
          <w:rFonts w:ascii="Calibri Light"/>
          <w:b w:val="0"/>
          <w:sz w:val="20"/>
        </w:rPr>
      </w:pPr>
    </w:p>
    <w:p>
      <w:pPr>
        <w:pStyle w:val="BodyText"/>
        <w:spacing w:before="3"/>
        <w:rPr>
          <w:rFonts w:ascii="Calibri Light"/>
          <w:b w:val="0"/>
        </w:rPr>
      </w:pPr>
      <w:r>
        <w:rPr/>
        <w:pict>
          <v:shape style="position:absolute;margin-left:55.200001pt;margin-top:14.807656pt;width:513.25pt;height:15.85pt;mso-position-horizontal-relative:page;mso-position-vertical-relative:paragraph;z-index:-251652096;mso-wrap-distance-left:0;mso-wrap-distance-right:0" type="#_x0000_t202" filled="true" fillcolor="#1a3556" stroked="false">
            <v:textbox inset="0,0,0,0">
              <w:txbxContent>
                <w:p>
                  <w:pPr>
                    <w:spacing w:line="292" w:lineRule="exact" w:before="0"/>
                    <w:ind w:left="139" w:right="0" w:firstLine="0"/>
                    <w:jc w:val="left"/>
                    <w:rPr>
                      <w:b/>
                      <w:sz w:val="24"/>
                    </w:rPr>
                  </w:pPr>
                  <w:r>
                    <w:rPr>
                      <w:b/>
                      <w:color w:val="FFFFFF"/>
                      <w:sz w:val="24"/>
                    </w:rPr>
                    <w:t>BLOQUE A: CENTROS Y SERVICIOS ASISTENCIALES</w:t>
                  </w:r>
                </w:p>
              </w:txbxContent>
            </v:textbox>
            <v:fill type="solid"/>
            <w10:wrap type="topAndBottom"/>
          </v:shape>
        </w:pict>
      </w:r>
    </w:p>
    <w:p>
      <w:pPr>
        <w:pStyle w:val="BodyText"/>
        <w:rPr>
          <w:rFonts w:ascii="Calibri Light"/>
          <w:b w:val="0"/>
          <w:sz w:val="20"/>
        </w:rPr>
      </w:pPr>
    </w:p>
    <w:p>
      <w:pPr>
        <w:pStyle w:val="BodyText"/>
        <w:spacing w:before="6"/>
        <w:rPr>
          <w:rFonts w:ascii="Calibri Light"/>
          <w:b w:val="0"/>
          <w:sz w:val="28"/>
        </w:rPr>
      </w:pPr>
      <w:r>
        <w:rPr/>
        <w:pict>
          <v:shape style="position:absolute;margin-left:55.200001pt;margin-top:18.602959pt;width:513.25pt;height:14.4pt;mso-position-horizontal-relative:page;mso-position-vertical-relative:paragraph;z-index:-251651072;mso-wrap-distance-left:0;mso-wrap-distance-right:0" type="#_x0000_t202" filled="true" fillcolor="#f4f6f8" stroked="false">
            <v:textbox inset="0,0,0,0">
              <w:txbxContent>
                <w:p>
                  <w:pPr>
                    <w:pStyle w:val="BodyText"/>
                    <w:spacing w:line="268" w:lineRule="exact"/>
                    <w:ind w:left="129"/>
                  </w:pPr>
                  <w:r>
                    <w:rPr>
                      <w:color w:val="1A3556"/>
                    </w:rPr>
                    <w:t>A-01 – Alta de usuarios y gestión de expedientes – Centro de Día Los Ruiseñores</w:t>
                  </w:r>
                </w:p>
              </w:txbxContent>
            </v:textbox>
            <v:fill type="solid"/>
            <w10:wrap type="topAndBottom"/>
          </v:shape>
        </w:pict>
      </w:r>
    </w:p>
    <w:p>
      <w:pPr>
        <w:pStyle w:val="BodyText"/>
        <w:spacing w:before="3"/>
        <w:rPr>
          <w:rFonts w:ascii="Calibri Light"/>
          <w:b w:val="0"/>
          <w:sz w:val="5"/>
        </w:rPr>
      </w:pPr>
    </w:p>
    <w:tbl>
      <w:tblPr>
        <w:tblW w:w="0" w:type="auto"/>
        <w:jc w:val="left"/>
        <w:tblInd w:w="79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554" w:hRule="atLeast"/>
        </w:trPr>
        <w:tc>
          <w:tcPr>
            <w:tcW w:w="2802" w:type="dxa"/>
            <w:shd w:val="clear" w:color="auto" w:fill="C7DCEF"/>
          </w:tcPr>
          <w:p>
            <w:pPr>
              <w:pStyle w:val="TableParagraph"/>
              <w:spacing w:before="91"/>
              <w:ind w:left="132"/>
              <w:rPr>
                <w:b/>
                <w:sz w:val="16"/>
              </w:rPr>
            </w:pPr>
            <w:r>
              <w:rPr>
                <w:b/>
                <w:color w:val="1A3556"/>
                <w:sz w:val="16"/>
              </w:rPr>
              <w:t>Código</w:t>
            </w:r>
          </w:p>
        </w:tc>
        <w:tc>
          <w:tcPr>
            <w:tcW w:w="6560" w:type="dxa"/>
          </w:tcPr>
          <w:p>
            <w:pPr>
              <w:pStyle w:val="TableParagraph"/>
              <w:spacing w:before="77"/>
              <w:rPr>
                <w:sz w:val="18"/>
              </w:rPr>
            </w:pPr>
            <w:r>
              <w:rPr>
                <w:color w:val="1A1A2D"/>
                <w:sz w:val="18"/>
              </w:rPr>
              <w:t>A-01</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Nombre del tratamiento</w:t>
            </w:r>
          </w:p>
        </w:tc>
        <w:tc>
          <w:tcPr>
            <w:tcW w:w="6560" w:type="dxa"/>
            <w:shd w:val="clear" w:color="auto" w:fill="F4F6F8"/>
          </w:tcPr>
          <w:p>
            <w:pPr>
              <w:pStyle w:val="TableParagraph"/>
              <w:spacing w:before="77"/>
              <w:rPr>
                <w:sz w:val="18"/>
              </w:rPr>
            </w:pPr>
            <w:r>
              <w:rPr>
                <w:color w:val="1A1A2D"/>
                <w:sz w:val="18"/>
              </w:rPr>
              <w:t>Alta de usuarios y gestión de expedientes – Centro de Día Los Ruiseñores</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Rol de FUCAS</w:t>
            </w:r>
          </w:p>
        </w:tc>
        <w:tc>
          <w:tcPr>
            <w:tcW w:w="6560" w:type="dxa"/>
          </w:tcPr>
          <w:p>
            <w:pPr>
              <w:pStyle w:val="TableParagraph"/>
              <w:spacing w:before="77"/>
              <w:rPr>
                <w:sz w:val="18"/>
              </w:rPr>
            </w:pPr>
            <w:r>
              <w:rPr>
                <w:color w:val="1A1A2D"/>
                <w:sz w:val="18"/>
              </w:rPr>
              <w:t>RESPONSABLE</w:t>
            </w:r>
          </w:p>
        </w:tc>
      </w:tr>
      <w:tr>
        <w:trPr>
          <w:trHeight w:val="1266" w:hRule="atLeast"/>
        </w:trPr>
        <w:tc>
          <w:tcPr>
            <w:tcW w:w="2802" w:type="dxa"/>
            <w:shd w:val="clear" w:color="auto" w:fill="C7DCEF"/>
          </w:tcPr>
          <w:p>
            <w:pPr>
              <w:pStyle w:val="TableParagraph"/>
              <w:ind w:left="0"/>
              <w:rPr>
                <w:rFonts w:ascii="Calibri Light"/>
                <w:b w:val="0"/>
                <w:sz w:val="16"/>
              </w:rPr>
            </w:pPr>
          </w:p>
          <w:p>
            <w:pPr>
              <w:pStyle w:val="TableParagraph"/>
              <w:spacing w:before="6"/>
              <w:ind w:left="0"/>
              <w:rPr>
                <w:rFonts w:ascii="Calibri Light"/>
                <w:b w:val="0"/>
                <w:sz w:val="20"/>
              </w:rPr>
            </w:pPr>
          </w:p>
          <w:p>
            <w:pPr>
              <w:pStyle w:val="TableParagraph"/>
              <w:spacing w:before="1"/>
              <w:ind w:left="132"/>
              <w:rPr>
                <w:b/>
                <w:sz w:val="16"/>
              </w:rPr>
            </w:pPr>
            <w:r>
              <w:rPr>
                <w:b/>
                <w:color w:val="1A3556"/>
                <w:sz w:val="16"/>
              </w:rPr>
              <w:t>Finalidad del tratamiento</w:t>
            </w:r>
          </w:p>
        </w:tc>
        <w:tc>
          <w:tcPr>
            <w:tcW w:w="6560" w:type="dxa"/>
            <w:tcBorders>
              <w:bottom w:val="single" w:sz="34" w:space="0" w:color="FFFFFF"/>
            </w:tcBorders>
            <w:shd w:val="clear" w:color="auto" w:fill="F4F6F8"/>
          </w:tcPr>
          <w:p>
            <w:pPr>
              <w:pStyle w:val="TableParagraph"/>
              <w:spacing w:line="259" w:lineRule="auto" w:before="79"/>
              <w:ind w:right="235"/>
              <w:rPr>
                <w:sz w:val="18"/>
              </w:rPr>
            </w:pPr>
            <w:r>
              <w:rPr>
                <w:color w:val="1A1A2D"/>
                <w:sz w:val="18"/>
              </w:rPr>
              <w:t>Gestión del alta, baja y expediente de personas usuarias del Centro de Día para Personas en Situación de Dependencia por Discapacidad Física Los Ruiseñores: admisión, tramitación documental, seguimiento de la atención y coordinación con la Consejería de Bienestar Social.</w:t>
            </w:r>
          </w:p>
        </w:tc>
      </w:tr>
      <w:tr>
        <w:trPr>
          <w:trHeight w:val="1660" w:hRule="atLeast"/>
        </w:trPr>
        <w:tc>
          <w:tcPr>
            <w:tcW w:w="2802" w:type="dxa"/>
            <w:shd w:val="clear" w:color="auto" w:fill="C7DCEF"/>
          </w:tcPr>
          <w:p>
            <w:pPr>
              <w:pStyle w:val="TableParagraph"/>
              <w:ind w:left="0"/>
              <w:rPr>
                <w:rFonts w:ascii="Calibri Light"/>
                <w:b w:val="0"/>
                <w:sz w:val="16"/>
              </w:rPr>
            </w:pPr>
          </w:p>
          <w:p>
            <w:pPr>
              <w:pStyle w:val="TableParagraph"/>
              <w:ind w:left="0"/>
              <w:rPr>
                <w:rFonts w:ascii="Calibri Light"/>
                <w:b w:val="0"/>
                <w:sz w:val="16"/>
              </w:rPr>
            </w:pPr>
          </w:p>
          <w:p>
            <w:pPr>
              <w:pStyle w:val="TableParagraph"/>
              <w:spacing w:before="3"/>
              <w:ind w:left="0"/>
              <w:rPr>
                <w:rFonts w:ascii="Calibri Light"/>
                <w:b w:val="0"/>
                <w:sz w:val="17"/>
              </w:rPr>
            </w:pPr>
          </w:p>
          <w:p>
            <w:pPr>
              <w:pStyle w:val="TableParagraph"/>
              <w:spacing w:before="1"/>
              <w:ind w:left="132"/>
              <w:rPr>
                <w:b/>
                <w:sz w:val="16"/>
              </w:rPr>
            </w:pPr>
            <w:r>
              <w:rPr>
                <w:b/>
                <w:color w:val="1A3556"/>
                <w:sz w:val="16"/>
              </w:rPr>
              <w:t>Base jurídica</w:t>
            </w:r>
          </w:p>
        </w:tc>
        <w:tc>
          <w:tcPr>
            <w:tcW w:w="6560" w:type="dxa"/>
            <w:tcBorders>
              <w:top w:val="single" w:sz="34" w:space="0" w:color="FFFFFF"/>
            </w:tcBorders>
          </w:tcPr>
          <w:p>
            <w:pPr>
              <w:pStyle w:val="TableParagraph"/>
              <w:spacing w:line="259" w:lineRule="auto"/>
              <w:ind w:right="235"/>
              <w:rPr>
                <w:sz w:val="18"/>
              </w:rPr>
            </w:pPr>
            <w:r>
              <w:rPr>
                <w:color w:val="1A1A2D"/>
                <w:sz w:val="18"/>
              </w:rPr>
              <w:t>Art. 6.1.c) RGPD – Obligación legal; art. 9.2.b) RGPD – datos de salud en ámbito de protección social. Ley 39/2006 de Autonomía Personal y Atención a la Dependencia (LAPAD); RD 67/2012, de 20 de julio, Reglamento de centros y servicios de dependencia de Canarias; Ley 2/1998 de Fundaciones Canarias; art. 8 Estatutos de FUCAS. [CORRECCIÓN v2.1: eliminada cita al RD 3/2010 ya derogado; sustituida por ENS vigente RD 311/2022]</w:t>
            </w:r>
          </w:p>
        </w:tc>
      </w:tr>
      <w:tr>
        <w:trPr>
          <w:trHeight w:val="1027" w:hRule="atLeast"/>
        </w:trPr>
        <w:tc>
          <w:tcPr>
            <w:tcW w:w="2802" w:type="dxa"/>
            <w:shd w:val="clear" w:color="auto" w:fill="C7DCEF"/>
          </w:tcPr>
          <w:p>
            <w:pPr>
              <w:pStyle w:val="TableParagraph"/>
              <w:ind w:left="0"/>
              <w:rPr>
                <w:rFonts w:ascii="Calibri Light"/>
                <w:b w:val="0"/>
                <w:sz w:val="16"/>
              </w:rPr>
            </w:pPr>
          </w:p>
          <w:p>
            <w:pPr>
              <w:pStyle w:val="TableParagraph"/>
              <w:spacing w:before="131"/>
              <w:ind w:left="132"/>
              <w:rPr>
                <w:b/>
                <w:sz w:val="16"/>
              </w:rPr>
            </w:pPr>
            <w:r>
              <w:rPr>
                <w:b/>
                <w:color w:val="1A3556"/>
                <w:sz w:val="16"/>
              </w:rPr>
              <w:t>Categorías de datos personales</w:t>
            </w:r>
          </w:p>
        </w:tc>
        <w:tc>
          <w:tcPr>
            <w:tcW w:w="6560" w:type="dxa"/>
            <w:tcBorders>
              <w:bottom w:val="single" w:sz="34" w:space="0" w:color="FFFFFF"/>
            </w:tcBorders>
            <w:shd w:val="clear" w:color="auto" w:fill="F4F6F8"/>
          </w:tcPr>
          <w:p>
            <w:pPr>
              <w:pStyle w:val="TableParagraph"/>
              <w:spacing w:line="256" w:lineRule="auto" w:before="79"/>
              <w:ind w:right="235"/>
              <w:rPr>
                <w:sz w:val="18"/>
              </w:rPr>
            </w:pPr>
            <w:r>
              <w:rPr>
                <w:color w:val="1A1A2D"/>
                <w:sz w:val="18"/>
              </w:rPr>
              <w:t>CATEGORÍAS ESPECIALES: Datos de salud (informes médicos, dictámenes técnicos, resolución de dependencia, informes sociales). Datos ordinarios: identificativos (nombre y apellidos, DNI, dirección, tarjeta sanitaria).</w:t>
            </w:r>
          </w:p>
        </w:tc>
      </w:tr>
      <w:tr>
        <w:trPr>
          <w:trHeight w:val="712" w:hRule="atLeast"/>
        </w:trPr>
        <w:tc>
          <w:tcPr>
            <w:tcW w:w="2802" w:type="dxa"/>
            <w:shd w:val="clear" w:color="auto" w:fill="C7DCEF"/>
          </w:tcPr>
          <w:p>
            <w:pPr>
              <w:pStyle w:val="TableParagraph"/>
              <w:spacing w:before="129"/>
              <w:ind w:left="132"/>
              <w:rPr>
                <w:b/>
                <w:sz w:val="16"/>
              </w:rPr>
            </w:pPr>
            <w:r>
              <w:rPr>
                <w:b/>
                <w:color w:val="1A3556"/>
                <w:sz w:val="16"/>
              </w:rPr>
              <w:t>Colectivos de interesados</w:t>
            </w:r>
          </w:p>
        </w:tc>
        <w:tc>
          <w:tcPr>
            <w:tcW w:w="6560" w:type="dxa"/>
            <w:tcBorders>
              <w:top w:val="single" w:sz="34" w:space="0" w:color="FFFFFF"/>
            </w:tcBorders>
          </w:tcPr>
          <w:p>
            <w:pPr>
              <w:pStyle w:val="TableParagraph"/>
              <w:spacing w:line="256" w:lineRule="auto"/>
              <w:ind w:right="330"/>
              <w:rPr>
                <w:sz w:val="18"/>
              </w:rPr>
            </w:pPr>
            <w:r>
              <w:rPr>
                <w:color w:val="1A1A2D"/>
                <w:sz w:val="18"/>
              </w:rPr>
              <w:t>Personas adultas con discapacidad física en situación de dependencia (21-65 años), usuarias del centro.</w:t>
            </w:r>
          </w:p>
        </w:tc>
      </w:tr>
      <w:tr>
        <w:trPr>
          <w:trHeight w:val="1029" w:hRule="atLeast"/>
        </w:trPr>
        <w:tc>
          <w:tcPr>
            <w:tcW w:w="2802" w:type="dxa"/>
            <w:shd w:val="clear" w:color="auto" w:fill="C7DCEF"/>
          </w:tcPr>
          <w:p>
            <w:pPr>
              <w:pStyle w:val="TableParagraph"/>
              <w:ind w:left="0"/>
              <w:rPr>
                <w:rFonts w:ascii="Calibri Light"/>
                <w:b w:val="0"/>
                <w:sz w:val="16"/>
              </w:rPr>
            </w:pPr>
          </w:p>
          <w:p>
            <w:pPr>
              <w:pStyle w:val="TableParagraph"/>
              <w:spacing w:before="131"/>
              <w:ind w:left="132"/>
              <w:rPr>
                <w:b/>
                <w:sz w:val="16"/>
              </w:rPr>
            </w:pPr>
            <w:r>
              <w:rPr>
                <w:b/>
                <w:color w:val="1A3556"/>
                <w:sz w:val="16"/>
              </w:rPr>
              <w:t>Destinatarios / Cesionarios</w:t>
            </w:r>
          </w:p>
        </w:tc>
        <w:tc>
          <w:tcPr>
            <w:tcW w:w="6560" w:type="dxa"/>
            <w:shd w:val="clear" w:color="auto" w:fill="F4F6F8"/>
          </w:tcPr>
          <w:p>
            <w:pPr>
              <w:pStyle w:val="TableParagraph"/>
              <w:spacing w:line="259" w:lineRule="auto" w:before="79"/>
              <w:ind w:right="506"/>
              <w:rPr>
                <w:sz w:val="18"/>
              </w:rPr>
            </w:pPr>
            <w:r>
              <w:rPr>
                <w:color w:val="1A1A2D"/>
                <w:sz w:val="18"/>
              </w:rPr>
              <w:t>Dirección General de Dependencia y Discapacidad del Gobierno de Canarias (aplicación de centro de día); Servicio Canario de Salud cuando proceda; órganos judiciales en caso necesario.</w:t>
            </w:r>
          </w:p>
        </w:tc>
      </w:tr>
      <w:tr>
        <w:trPr>
          <w:trHeight w:val="1027" w:hRule="atLeast"/>
        </w:trPr>
        <w:tc>
          <w:tcPr>
            <w:tcW w:w="2802" w:type="dxa"/>
            <w:shd w:val="clear" w:color="auto" w:fill="C7DCEF"/>
          </w:tcPr>
          <w:p>
            <w:pPr>
              <w:pStyle w:val="TableParagraph"/>
              <w:ind w:left="0"/>
              <w:rPr>
                <w:rFonts w:ascii="Calibri Light"/>
                <w:b w:val="0"/>
                <w:sz w:val="16"/>
              </w:rPr>
            </w:pPr>
          </w:p>
          <w:p>
            <w:pPr>
              <w:pStyle w:val="TableParagraph"/>
              <w:spacing w:before="131"/>
              <w:ind w:left="132"/>
              <w:rPr>
                <w:b/>
                <w:sz w:val="16"/>
              </w:rPr>
            </w:pPr>
            <w:r>
              <w:rPr>
                <w:b/>
                <w:color w:val="1A3556"/>
                <w:sz w:val="16"/>
              </w:rPr>
              <w:t>Plazo de conservación</w:t>
            </w:r>
          </w:p>
        </w:tc>
        <w:tc>
          <w:tcPr>
            <w:tcW w:w="6560" w:type="dxa"/>
          </w:tcPr>
          <w:p>
            <w:pPr>
              <w:pStyle w:val="TableParagraph"/>
              <w:spacing w:line="256" w:lineRule="auto" w:before="79"/>
              <w:ind w:right="235"/>
              <w:rPr>
                <w:sz w:val="18"/>
              </w:rPr>
            </w:pPr>
            <w:r>
              <w:rPr>
                <w:color w:val="1A1A2D"/>
                <w:sz w:val="18"/>
              </w:rPr>
              <w:t>Mientras dure la asistencia al centro. Tras el alta o fallecimiento: datos de salud 10 años; restantes 5 años. Documentación con valor histórico según normativa archivística de Canarias.</w:t>
            </w:r>
          </w:p>
        </w:tc>
      </w:tr>
      <w:tr>
        <w:trPr>
          <w:trHeight w:val="553" w:hRule="atLeast"/>
        </w:trPr>
        <w:tc>
          <w:tcPr>
            <w:tcW w:w="2802" w:type="dxa"/>
            <w:shd w:val="clear" w:color="auto" w:fill="C7DCEF"/>
          </w:tcPr>
          <w:p>
            <w:pPr>
              <w:pStyle w:val="TableParagraph"/>
              <w:spacing w:before="91"/>
              <w:ind w:left="132"/>
              <w:rPr>
                <w:b/>
                <w:sz w:val="16"/>
              </w:rPr>
            </w:pPr>
            <w:r>
              <w:rPr>
                <w:b/>
                <w:color w:val="1A3556"/>
                <w:sz w:val="16"/>
              </w:rPr>
              <w:t>Transferencias internacionales</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No se realizan transferencias internacionales de datos personales.</w:t>
            </w:r>
          </w:p>
        </w:tc>
      </w:tr>
      <w:tr>
        <w:trPr>
          <w:trHeight w:val="947" w:hRule="atLeast"/>
        </w:trPr>
        <w:tc>
          <w:tcPr>
            <w:tcW w:w="2802" w:type="dxa"/>
            <w:shd w:val="clear" w:color="auto" w:fill="C7DCEF"/>
          </w:tcPr>
          <w:p>
            <w:pPr>
              <w:pStyle w:val="TableParagraph"/>
              <w:spacing w:before="11"/>
              <w:ind w:left="0"/>
              <w:rPr>
                <w:rFonts w:ascii="Calibri Light"/>
                <w:b w:val="0"/>
                <w:sz w:val="11"/>
              </w:rPr>
            </w:pPr>
          </w:p>
          <w:p>
            <w:pPr>
              <w:pStyle w:val="TableParagraph"/>
              <w:spacing w:line="254" w:lineRule="auto"/>
              <w:ind w:left="132" w:right="267"/>
              <w:rPr>
                <w:b/>
                <w:sz w:val="16"/>
              </w:rPr>
            </w:pPr>
            <w:r>
              <w:rPr>
                <w:b/>
                <w:color w:val="1A3556"/>
                <w:sz w:val="16"/>
              </w:rPr>
              <w:t>Medidas técnicas y organizativas de seguridad</w:t>
            </w:r>
          </w:p>
        </w:tc>
        <w:tc>
          <w:tcPr>
            <w:tcW w:w="6560" w:type="dxa"/>
            <w:tcBorders>
              <w:top w:val="single" w:sz="34" w:space="0" w:color="FFFFFF"/>
            </w:tcBorders>
          </w:tcPr>
          <w:p>
            <w:pPr>
              <w:pStyle w:val="TableParagraph"/>
              <w:spacing w:line="259" w:lineRule="auto"/>
              <w:ind w:right="235"/>
              <w:rPr>
                <w:sz w:val="18"/>
              </w:rPr>
            </w:pPr>
            <w:r>
              <w:rPr>
                <w:color w:val="1A1A2D"/>
                <w:sz w:val="18"/>
              </w:rPr>
              <w:t>Control de acceso restringido al personal del centro; protocolos de confidencialidad firmados; cifrado de expedientes electrónicos; custodia física de expedientes en papel; medidas de seguridad conforme al ENS (RD 311/2022) – nivel medio.</w:t>
            </w:r>
          </w:p>
        </w:tc>
      </w:tr>
    </w:tbl>
    <w:p>
      <w:pPr>
        <w:pStyle w:val="BodyText"/>
        <w:rPr>
          <w:rFonts w:ascii="Calibri Light"/>
          <w:b w:val="0"/>
          <w:sz w:val="20"/>
        </w:rPr>
      </w:pPr>
    </w:p>
    <w:p>
      <w:pPr>
        <w:pStyle w:val="BodyText"/>
        <w:rPr>
          <w:rFonts w:ascii="Calibri Light"/>
          <w:b w:val="0"/>
          <w:sz w:val="20"/>
        </w:rPr>
      </w:pPr>
    </w:p>
    <w:p>
      <w:pPr>
        <w:pStyle w:val="BodyText"/>
        <w:spacing w:before="8"/>
        <w:rPr>
          <w:rFonts w:ascii="Calibri Light"/>
          <w:b w:val="0"/>
          <w:sz w:val="28"/>
        </w:rPr>
      </w:pPr>
    </w:p>
    <w:p>
      <w:pPr>
        <w:spacing w:before="56"/>
        <w:ind w:left="647" w:right="0" w:firstLine="0"/>
        <w:jc w:val="center"/>
        <w:rPr>
          <w:sz w:val="22"/>
        </w:rPr>
      </w:pPr>
      <w:r>
        <w:rPr>
          <w:color w:val="4471C4"/>
          <w:w w:val="100"/>
          <w:sz w:val="22"/>
        </w:rPr>
        <w:t>6</w:t>
      </w:r>
    </w:p>
    <w:p>
      <w:pPr>
        <w:spacing w:after="0"/>
        <w:jc w:val="center"/>
        <w:rPr>
          <w:sz w:val="22"/>
        </w:rPr>
        <w:sectPr>
          <w:pgSz w:w="11910" w:h="16840"/>
          <w:pgMar w:top="1580" w:bottom="280" w:left="340" w:right="420"/>
        </w:sectPr>
      </w:pPr>
    </w:p>
    <w:p>
      <w:pPr>
        <w:spacing w:line="240" w:lineRule="auto" w:before="0"/>
        <w:rPr>
          <w:sz w:val="20"/>
        </w:rPr>
      </w:pPr>
      <w:r>
        <w:rPr/>
        <w:pict>
          <v:group style="position:absolute;margin-left:.000009pt;margin-top:36.832428pt;width:559.9pt;height:765.7pt;mso-position-horizontal-relative:page;mso-position-vertical-relative:page;z-index:-254814208" coordorigin="0,737" coordsize="11198,15314">
            <v:shape style="position:absolute;left:0;top:736;width:11198;height:15314" type="#_x0000_t75" stroked="false">
              <v:imagedata r:id="rId5" o:title=""/>
            </v:shape>
            <v:line style="position:absolute" from="1085,4565" to="1085,4856" stroked="true" strokeweight="1.92pt" strokecolor="#1a3556">
              <v:stroke dashstyle="solid"/>
            </v:line>
            <w10:wrap type="none"/>
          </v:group>
        </w:pict>
      </w:r>
    </w:p>
    <w:p>
      <w:pPr>
        <w:spacing w:line="240" w:lineRule="auto" w:before="0"/>
        <w:rPr>
          <w:sz w:val="20"/>
        </w:rPr>
      </w:pPr>
    </w:p>
    <w:p>
      <w:pPr>
        <w:spacing w:line="240" w:lineRule="auto" w:before="10" w:after="1"/>
        <w:rPr>
          <w:sz w:val="14"/>
        </w:rPr>
      </w:pPr>
    </w:p>
    <w:tbl>
      <w:tblPr>
        <w:tblW w:w="0" w:type="auto"/>
        <w:jc w:val="left"/>
        <w:tblInd w:w="79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Encargados del tratamiento</w:t>
            </w:r>
          </w:p>
        </w:tc>
        <w:tc>
          <w:tcPr>
            <w:tcW w:w="6560" w:type="dxa"/>
            <w:shd w:val="clear" w:color="auto" w:fill="F4F6F8"/>
          </w:tcPr>
          <w:p>
            <w:pPr>
              <w:pStyle w:val="TableParagraph"/>
              <w:spacing w:line="256" w:lineRule="auto" w:before="79"/>
              <w:ind w:right="550"/>
              <w:rPr>
                <w:sz w:val="18"/>
              </w:rPr>
            </w:pPr>
            <w:r>
              <w:rPr>
                <w:color w:val="1A1A2D"/>
                <w:sz w:val="18"/>
              </w:rPr>
              <w:t>Amanda Bus S.L. (transporte de usuarios, encargada con contrato art. 28 RGPD). Proveedor del sistema informático del centro.</w:t>
            </w:r>
          </w:p>
        </w:tc>
      </w:tr>
      <w:tr>
        <w:trPr>
          <w:trHeight w:val="554" w:hRule="atLeast"/>
        </w:trPr>
        <w:tc>
          <w:tcPr>
            <w:tcW w:w="2802" w:type="dxa"/>
            <w:shd w:val="clear" w:color="auto" w:fill="C7DCEF"/>
          </w:tcPr>
          <w:p>
            <w:pPr>
              <w:pStyle w:val="TableParagraph"/>
              <w:spacing w:before="88"/>
              <w:ind w:left="132"/>
              <w:rPr>
                <w:b/>
                <w:sz w:val="16"/>
              </w:rPr>
            </w:pPr>
            <w:r>
              <w:rPr>
                <w:b/>
                <w:color w:val="1A3556"/>
                <w:sz w:val="16"/>
              </w:rPr>
              <w:t>Nivel de riesgo / EIPD</w:t>
            </w:r>
          </w:p>
        </w:tc>
        <w:tc>
          <w:tcPr>
            <w:tcW w:w="6560" w:type="dxa"/>
            <w:shd w:val="clear" w:color="auto" w:fill="FFEDDD"/>
          </w:tcPr>
          <w:p>
            <w:pPr>
              <w:pStyle w:val="TableParagraph"/>
              <w:spacing w:before="77"/>
              <w:rPr>
                <w:sz w:val="18"/>
              </w:rPr>
            </w:pPr>
            <w:r>
              <w:rPr>
                <w:color w:val="1A1A2D"/>
                <w:sz w:val="18"/>
              </w:rPr>
              <w:t>ALTO – Datos de salud de personas en situación de dependencia.</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1"/>
        <w:rPr>
          <w:sz w:val="14"/>
        </w:rPr>
      </w:pPr>
      <w:r>
        <w:rPr/>
        <w:pict>
          <v:shape style="position:absolute;margin-left:55.200001pt;margin-top:10.298906pt;width:513.25pt;height:14.55pt;mso-position-horizontal-relative:page;mso-position-vertical-relative:paragraph;z-index:-251649024;mso-wrap-distance-left:0;mso-wrap-distance-right:0" type="#_x0000_t202" filled="true" fillcolor="#f4f6f8" stroked="false">
            <v:textbox inset="0,0,0,0">
              <w:txbxContent>
                <w:p>
                  <w:pPr>
                    <w:pStyle w:val="BodyText"/>
                    <w:spacing w:line="268" w:lineRule="exact"/>
                    <w:ind w:left="129"/>
                  </w:pPr>
                  <w:r>
                    <w:rPr>
                      <w:color w:val="1A3556"/>
                    </w:rPr>
                    <w:t>A-02 – Informes de seguimiento de fisioterapia y área psicosocioeducativa – Centro de Día Los Ruiseñores</w:t>
                  </w:r>
                </w:p>
              </w:txbxContent>
            </v:textbox>
            <v:fill type="solid"/>
            <w10:wrap type="topAndBottom"/>
          </v:shape>
        </w:pict>
      </w:r>
    </w:p>
    <w:p>
      <w:pPr>
        <w:spacing w:line="240" w:lineRule="auto" w:before="3" w:after="0"/>
        <w:rPr>
          <w:sz w:val="5"/>
        </w:rPr>
      </w:pPr>
    </w:p>
    <w:tbl>
      <w:tblPr>
        <w:tblW w:w="0" w:type="auto"/>
        <w:jc w:val="left"/>
        <w:tblInd w:w="79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554" w:hRule="atLeast"/>
        </w:trPr>
        <w:tc>
          <w:tcPr>
            <w:tcW w:w="2802" w:type="dxa"/>
            <w:shd w:val="clear" w:color="auto" w:fill="C7DCEF"/>
          </w:tcPr>
          <w:p>
            <w:pPr>
              <w:pStyle w:val="TableParagraph"/>
              <w:spacing w:before="91"/>
              <w:ind w:left="132"/>
              <w:rPr>
                <w:b/>
                <w:sz w:val="16"/>
              </w:rPr>
            </w:pPr>
            <w:r>
              <w:rPr>
                <w:b/>
                <w:color w:val="1A3556"/>
                <w:sz w:val="16"/>
              </w:rPr>
              <w:t>Código</w:t>
            </w:r>
          </w:p>
        </w:tc>
        <w:tc>
          <w:tcPr>
            <w:tcW w:w="6560" w:type="dxa"/>
          </w:tcPr>
          <w:p>
            <w:pPr>
              <w:pStyle w:val="TableParagraph"/>
              <w:spacing w:before="77"/>
              <w:rPr>
                <w:sz w:val="18"/>
              </w:rPr>
            </w:pPr>
            <w:r>
              <w:rPr>
                <w:color w:val="1A1A2D"/>
                <w:sz w:val="18"/>
              </w:rPr>
              <w:t>A-02</w:t>
            </w:r>
          </w:p>
        </w:tc>
      </w:tr>
      <w:tr>
        <w:trPr>
          <w:trHeight w:val="792" w:hRule="atLeast"/>
        </w:trPr>
        <w:tc>
          <w:tcPr>
            <w:tcW w:w="2802" w:type="dxa"/>
            <w:shd w:val="clear" w:color="auto" w:fill="C7DCEF"/>
          </w:tcPr>
          <w:p>
            <w:pPr>
              <w:pStyle w:val="TableParagraph"/>
              <w:spacing w:before="1"/>
              <w:ind w:left="0"/>
              <w:rPr>
                <w:sz w:val="17"/>
              </w:rPr>
            </w:pPr>
          </w:p>
          <w:p>
            <w:pPr>
              <w:pStyle w:val="TableParagraph"/>
              <w:spacing w:before="1"/>
              <w:ind w:left="132"/>
              <w:rPr>
                <w:b/>
                <w:sz w:val="16"/>
              </w:rPr>
            </w:pPr>
            <w:r>
              <w:rPr>
                <w:b/>
                <w:color w:val="1A3556"/>
                <w:sz w:val="16"/>
              </w:rPr>
              <w:t>Nombre del tratamiento</w:t>
            </w:r>
          </w:p>
        </w:tc>
        <w:tc>
          <w:tcPr>
            <w:tcW w:w="6560" w:type="dxa"/>
            <w:tcBorders>
              <w:bottom w:val="single" w:sz="34" w:space="0" w:color="FFFFFF"/>
            </w:tcBorders>
            <w:shd w:val="clear" w:color="auto" w:fill="F4F6F8"/>
          </w:tcPr>
          <w:p>
            <w:pPr>
              <w:pStyle w:val="TableParagraph"/>
              <w:spacing w:line="256" w:lineRule="auto" w:before="80"/>
              <w:ind w:right="321"/>
              <w:rPr>
                <w:sz w:val="18"/>
              </w:rPr>
            </w:pPr>
            <w:r>
              <w:rPr>
                <w:color w:val="1A1A2D"/>
                <w:sz w:val="18"/>
              </w:rPr>
              <w:t>Informes de seguimiento de fisioterapia y área psicosocioeducativa – Centro de Día Los Ruiseñores</w:t>
            </w:r>
          </w:p>
        </w:tc>
      </w:tr>
      <w:tr>
        <w:trPr>
          <w:trHeight w:val="474" w:hRule="atLeast"/>
        </w:trPr>
        <w:tc>
          <w:tcPr>
            <w:tcW w:w="2802" w:type="dxa"/>
            <w:shd w:val="clear" w:color="auto" w:fill="C7DCEF"/>
          </w:tcPr>
          <w:p>
            <w:pPr>
              <w:pStyle w:val="TableParagraph"/>
              <w:spacing w:before="11"/>
              <w:ind w:left="132"/>
              <w:rPr>
                <w:b/>
                <w:sz w:val="16"/>
              </w:rPr>
            </w:pPr>
            <w:r>
              <w:rPr>
                <w:b/>
                <w:color w:val="1A3556"/>
                <w:sz w:val="16"/>
              </w:rPr>
              <w:t>Rol de FUCAS</w:t>
            </w:r>
          </w:p>
        </w:tc>
        <w:tc>
          <w:tcPr>
            <w:tcW w:w="6560" w:type="dxa"/>
            <w:tcBorders>
              <w:top w:val="single" w:sz="34" w:space="0" w:color="FFFFFF"/>
            </w:tcBorders>
          </w:tcPr>
          <w:p>
            <w:pPr>
              <w:pStyle w:val="TableParagraph"/>
              <w:spacing w:line="217" w:lineRule="exact"/>
              <w:rPr>
                <w:sz w:val="18"/>
              </w:rPr>
            </w:pPr>
            <w:r>
              <w:rPr>
                <w:color w:val="1A1A2D"/>
                <w:sz w:val="18"/>
              </w:rPr>
              <w:t>RESPONSABLE</w:t>
            </w:r>
          </w:p>
        </w:tc>
      </w:tr>
      <w:tr>
        <w:trPr>
          <w:trHeight w:val="1026" w:hRule="atLeast"/>
        </w:trPr>
        <w:tc>
          <w:tcPr>
            <w:tcW w:w="2802" w:type="dxa"/>
            <w:shd w:val="clear" w:color="auto" w:fill="C7DCEF"/>
          </w:tcPr>
          <w:p>
            <w:pPr>
              <w:pStyle w:val="TableParagraph"/>
              <w:ind w:left="0"/>
              <w:rPr>
                <w:sz w:val="16"/>
              </w:rPr>
            </w:pPr>
          </w:p>
          <w:p>
            <w:pPr>
              <w:pStyle w:val="TableParagraph"/>
              <w:spacing w:before="131"/>
              <w:ind w:left="132"/>
              <w:rPr>
                <w:b/>
                <w:sz w:val="16"/>
              </w:rPr>
            </w:pPr>
            <w:r>
              <w:rPr>
                <w:b/>
                <w:color w:val="1A3556"/>
                <w:sz w:val="16"/>
              </w:rPr>
              <w:t>Finalidad del tratamiento</w:t>
            </w:r>
          </w:p>
        </w:tc>
        <w:tc>
          <w:tcPr>
            <w:tcW w:w="6560" w:type="dxa"/>
            <w:tcBorders>
              <w:bottom w:val="single" w:sz="34" w:space="0" w:color="FFFFFF"/>
            </w:tcBorders>
            <w:shd w:val="clear" w:color="auto" w:fill="F4F6F8"/>
          </w:tcPr>
          <w:p>
            <w:pPr>
              <w:pStyle w:val="TableParagraph"/>
              <w:spacing w:line="259" w:lineRule="auto" w:before="79"/>
              <w:ind w:right="390"/>
              <w:rPr>
                <w:sz w:val="18"/>
              </w:rPr>
            </w:pPr>
            <w:r>
              <w:rPr>
                <w:color w:val="1A1A2D"/>
                <w:sz w:val="18"/>
              </w:rPr>
              <w:t>Elaboración y gestión de informes de seguimiento del desarrollo y avance de las personas usuarias en las áreas de fisioterapia y psicosocioeducativa del Centro Los Ruiseñores.</w:t>
            </w:r>
          </w:p>
        </w:tc>
      </w:tr>
      <w:tr>
        <w:trPr>
          <w:trHeight w:val="712" w:hRule="atLeast"/>
        </w:trPr>
        <w:tc>
          <w:tcPr>
            <w:tcW w:w="2802" w:type="dxa"/>
            <w:shd w:val="clear" w:color="auto" w:fill="C7DCEF"/>
          </w:tcPr>
          <w:p>
            <w:pPr>
              <w:pStyle w:val="TableParagraph"/>
              <w:spacing w:before="131"/>
              <w:ind w:left="132"/>
              <w:rPr>
                <w:b/>
                <w:sz w:val="16"/>
              </w:rPr>
            </w:pPr>
            <w:r>
              <w:rPr>
                <w:b/>
                <w:color w:val="1A3556"/>
                <w:sz w:val="16"/>
              </w:rPr>
              <w:t>Base jurídica</w:t>
            </w:r>
          </w:p>
        </w:tc>
        <w:tc>
          <w:tcPr>
            <w:tcW w:w="6560" w:type="dxa"/>
            <w:tcBorders>
              <w:top w:val="single" w:sz="34" w:space="0" w:color="FFFFFF"/>
            </w:tcBorders>
          </w:tcPr>
          <w:p>
            <w:pPr>
              <w:pStyle w:val="TableParagraph"/>
              <w:spacing w:line="254" w:lineRule="auto" w:before="2"/>
              <w:ind w:right="132"/>
              <w:rPr>
                <w:sz w:val="18"/>
              </w:rPr>
            </w:pPr>
            <w:r>
              <w:rPr>
                <w:color w:val="1A1A2D"/>
                <w:sz w:val="18"/>
              </w:rPr>
              <w:t>Art. 6.1.c) RGPD – Obligación legal; art. 9.2.b) y h) RGPD – datos de salud en contexto de atención sociosanitaria. LAPAD; RD 67/2012; Ley 2/1998 de Fundaciones Canarias.</w:t>
            </w:r>
          </w:p>
        </w:tc>
      </w:tr>
      <w:tr>
        <w:trPr>
          <w:trHeight w:val="1267" w:hRule="atLeast"/>
        </w:trPr>
        <w:tc>
          <w:tcPr>
            <w:tcW w:w="2802" w:type="dxa"/>
            <w:shd w:val="clear" w:color="auto" w:fill="C7DCEF"/>
          </w:tcPr>
          <w:p>
            <w:pPr>
              <w:pStyle w:val="TableParagraph"/>
              <w:ind w:left="0"/>
              <w:rPr>
                <w:sz w:val="16"/>
              </w:rPr>
            </w:pPr>
          </w:p>
          <w:p>
            <w:pPr>
              <w:pStyle w:val="TableParagraph"/>
              <w:spacing w:before="6"/>
              <w:ind w:left="0"/>
              <w:rPr>
                <w:sz w:val="20"/>
              </w:rPr>
            </w:pPr>
          </w:p>
          <w:p>
            <w:pPr>
              <w:pStyle w:val="TableParagraph"/>
              <w:spacing w:before="1"/>
              <w:ind w:left="132"/>
              <w:rPr>
                <w:b/>
                <w:sz w:val="16"/>
              </w:rPr>
            </w:pPr>
            <w:r>
              <w:rPr>
                <w:b/>
                <w:color w:val="1A3556"/>
                <w:sz w:val="16"/>
              </w:rPr>
              <w:t>Categorías de datos personales</w:t>
            </w:r>
          </w:p>
        </w:tc>
        <w:tc>
          <w:tcPr>
            <w:tcW w:w="6560" w:type="dxa"/>
            <w:tcBorders>
              <w:bottom w:val="single" w:sz="34" w:space="0" w:color="FFFFFF"/>
            </w:tcBorders>
            <w:shd w:val="clear" w:color="auto" w:fill="F4F6F8"/>
          </w:tcPr>
          <w:p>
            <w:pPr>
              <w:pStyle w:val="TableParagraph"/>
              <w:spacing w:line="259" w:lineRule="auto" w:before="79"/>
              <w:ind w:right="235"/>
              <w:rPr>
                <w:sz w:val="18"/>
              </w:rPr>
            </w:pPr>
            <w:r>
              <w:rPr>
                <w:color w:val="1A1A2D"/>
                <w:sz w:val="18"/>
              </w:rPr>
              <w:t>CATEGORÍAS ESPECIALES: Datos de salud (informes médicos, dictámenes técnicos, resolución de dependencia, informes sociales, evolución clínica y funcional). Datos ordinarios: identificativos (nombre, DNI, teléfono, domicilio); características personales (edad, características físicas).</w:t>
            </w:r>
          </w:p>
        </w:tc>
      </w:tr>
      <w:tr>
        <w:trPr>
          <w:trHeight w:val="709" w:hRule="atLeast"/>
        </w:trPr>
        <w:tc>
          <w:tcPr>
            <w:tcW w:w="2802" w:type="dxa"/>
            <w:shd w:val="clear" w:color="auto" w:fill="C7DCEF"/>
          </w:tcPr>
          <w:p>
            <w:pPr>
              <w:pStyle w:val="TableParagraph"/>
              <w:spacing w:before="129"/>
              <w:ind w:left="132"/>
              <w:rPr>
                <w:b/>
                <w:sz w:val="16"/>
              </w:rPr>
            </w:pPr>
            <w:r>
              <w:rPr>
                <w:b/>
                <w:color w:val="1A3556"/>
                <w:sz w:val="16"/>
              </w:rPr>
              <w:t>Colectivos de interesados</w:t>
            </w:r>
          </w:p>
        </w:tc>
        <w:tc>
          <w:tcPr>
            <w:tcW w:w="6560" w:type="dxa"/>
            <w:tcBorders>
              <w:top w:val="single" w:sz="34" w:space="0" w:color="FFFFFF"/>
            </w:tcBorders>
          </w:tcPr>
          <w:p>
            <w:pPr>
              <w:pStyle w:val="TableParagraph"/>
              <w:spacing w:line="256" w:lineRule="auto"/>
              <w:ind w:right="330"/>
              <w:rPr>
                <w:sz w:val="18"/>
              </w:rPr>
            </w:pPr>
            <w:r>
              <w:rPr>
                <w:color w:val="1A1A2D"/>
                <w:sz w:val="18"/>
              </w:rPr>
              <w:t>Personas adultas con discapacidad física en situación de dependencia (21-65 años), usuarias del centro.</w:t>
            </w:r>
          </w:p>
        </w:tc>
      </w:tr>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Destinatarios / Cesionarios</w:t>
            </w:r>
          </w:p>
        </w:tc>
        <w:tc>
          <w:tcPr>
            <w:tcW w:w="6560" w:type="dxa"/>
            <w:tcBorders>
              <w:bottom w:val="single" w:sz="34" w:space="0" w:color="FFFFFF"/>
            </w:tcBorders>
            <w:shd w:val="clear" w:color="auto" w:fill="F4F6F8"/>
          </w:tcPr>
          <w:p>
            <w:pPr>
              <w:pStyle w:val="TableParagraph"/>
              <w:spacing w:line="254" w:lineRule="auto" w:before="81"/>
              <w:ind w:right="635"/>
              <w:rPr>
                <w:sz w:val="18"/>
              </w:rPr>
            </w:pPr>
            <w:r>
              <w:rPr>
                <w:color w:val="1A1A2D"/>
                <w:sz w:val="18"/>
              </w:rPr>
              <w:t>Servicio Canario de Salud (coordinación); Gobierno de Canarias – Consejería de Bienestar Social (supervisión).</w:t>
            </w:r>
          </w:p>
        </w:tc>
      </w:tr>
      <w:tr>
        <w:trPr>
          <w:trHeight w:val="712" w:hRule="atLeast"/>
        </w:trPr>
        <w:tc>
          <w:tcPr>
            <w:tcW w:w="2802" w:type="dxa"/>
            <w:shd w:val="clear" w:color="auto" w:fill="C7DCEF"/>
          </w:tcPr>
          <w:p>
            <w:pPr>
              <w:pStyle w:val="TableParagraph"/>
              <w:spacing w:before="129"/>
              <w:ind w:left="132"/>
              <w:rPr>
                <w:b/>
                <w:sz w:val="16"/>
              </w:rPr>
            </w:pPr>
            <w:r>
              <w:rPr>
                <w:b/>
                <w:color w:val="1A3556"/>
                <w:sz w:val="16"/>
              </w:rPr>
              <w:t>Plazo de conservación</w:t>
            </w:r>
          </w:p>
        </w:tc>
        <w:tc>
          <w:tcPr>
            <w:tcW w:w="6560" w:type="dxa"/>
            <w:tcBorders>
              <w:top w:val="single" w:sz="34" w:space="0" w:color="FFFFFF"/>
            </w:tcBorders>
          </w:tcPr>
          <w:p>
            <w:pPr>
              <w:pStyle w:val="TableParagraph"/>
              <w:spacing w:line="256" w:lineRule="auto"/>
              <w:ind w:right="203"/>
              <w:rPr>
                <w:sz w:val="18"/>
              </w:rPr>
            </w:pPr>
            <w:r>
              <w:rPr>
                <w:color w:val="1A1A2D"/>
                <w:sz w:val="18"/>
              </w:rPr>
              <w:t>10 años desde la última intervención. Documentación con valor histórico conforme a normativa archivística.</w:t>
            </w:r>
          </w:p>
        </w:tc>
      </w:tr>
      <w:tr>
        <w:trPr>
          <w:trHeight w:val="553" w:hRule="atLeast"/>
        </w:trPr>
        <w:tc>
          <w:tcPr>
            <w:tcW w:w="2802" w:type="dxa"/>
            <w:shd w:val="clear" w:color="auto" w:fill="C7DCEF"/>
          </w:tcPr>
          <w:p>
            <w:pPr>
              <w:pStyle w:val="TableParagraph"/>
              <w:spacing w:before="91"/>
              <w:ind w:left="132"/>
              <w:rPr>
                <w:b/>
                <w:sz w:val="16"/>
              </w:rPr>
            </w:pPr>
            <w:r>
              <w:rPr>
                <w:b/>
                <w:color w:val="1A3556"/>
                <w:sz w:val="16"/>
              </w:rPr>
              <w:t>Transferencias internacionales</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No se realizan transferencias internacionales de datos personales.</w:t>
            </w:r>
          </w:p>
        </w:tc>
      </w:tr>
      <w:tr>
        <w:trPr>
          <w:trHeight w:val="712" w:hRule="atLeast"/>
        </w:trPr>
        <w:tc>
          <w:tcPr>
            <w:tcW w:w="2802" w:type="dxa"/>
            <w:shd w:val="clear" w:color="auto" w:fill="C7DCEF"/>
          </w:tcPr>
          <w:p>
            <w:pPr>
              <w:pStyle w:val="TableParagraph"/>
              <w:spacing w:line="256" w:lineRule="auto" w:before="26"/>
              <w:ind w:left="132" w:right="267"/>
              <w:rPr>
                <w:b/>
                <w:sz w:val="16"/>
              </w:rPr>
            </w:pPr>
            <w:r>
              <w:rPr>
                <w:b/>
                <w:color w:val="1A3556"/>
                <w:sz w:val="16"/>
              </w:rPr>
              <w:t>Medidas técnicas y organizativas de seguridad</w:t>
            </w:r>
          </w:p>
        </w:tc>
        <w:tc>
          <w:tcPr>
            <w:tcW w:w="6560" w:type="dxa"/>
            <w:tcBorders>
              <w:top w:val="single" w:sz="34" w:space="0" w:color="FFFFFF"/>
            </w:tcBorders>
          </w:tcPr>
          <w:p>
            <w:pPr>
              <w:pStyle w:val="TableParagraph"/>
              <w:spacing w:line="256" w:lineRule="auto"/>
              <w:ind w:right="132"/>
              <w:rPr>
                <w:sz w:val="18"/>
              </w:rPr>
            </w:pPr>
            <w:r>
              <w:rPr>
                <w:color w:val="1A1A2D"/>
                <w:sz w:val="18"/>
              </w:rPr>
              <w:t>Acceso restringido a fisioterapeutas y personal psicosocioeducativo del centro; secreto profesional aplicado; informes en soporte cifrado; medidas ENS RD 311/2022.</w:t>
            </w:r>
          </w:p>
        </w:tc>
      </w:tr>
      <w:tr>
        <w:trPr>
          <w:trHeight w:val="554" w:hRule="atLeast"/>
        </w:trPr>
        <w:tc>
          <w:tcPr>
            <w:tcW w:w="2802" w:type="dxa"/>
            <w:shd w:val="clear" w:color="auto" w:fill="C7DCEF"/>
          </w:tcPr>
          <w:p>
            <w:pPr>
              <w:pStyle w:val="TableParagraph"/>
              <w:spacing w:before="88"/>
              <w:ind w:left="132"/>
              <w:rPr>
                <w:b/>
                <w:sz w:val="16"/>
              </w:rPr>
            </w:pPr>
            <w:r>
              <w:rPr>
                <w:b/>
                <w:color w:val="1A3556"/>
                <w:sz w:val="16"/>
              </w:rPr>
              <w:t>Encargados del tratamiento</w:t>
            </w:r>
          </w:p>
        </w:tc>
        <w:tc>
          <w:tcPr>
            <w:tcW w:w="6560" w:type="dxa"/>
            <w:shd w:val="clear" w:color="auto" w:fill="F4F6F8"/>
          </w:tcPr>
          <w:p>
            <w:pPr>
              <w:pStyle w:val="TableParagraph"/>
              <w:spacing w:before="77"/>
              <w:rPr>
                <w:sz w:val="18"/>
              </w:rPr>
            </w:pPr>
            <w:r>
              <w:rPr>
                <w:color w:val="1A1A2D"/>
                <w:sz w:val="18"/>
              </w:rPr>
              <w:t>No aplica para este tratamiento específico.</w:t>
            </w:r>
          </w:p>
        </w:tc>
      </w:tr>
      <w:tr>
        <w:trPr>
          <w:trHeight w:val="551" w:hRule="atLeast"/>
        </w:trPr>
        <w:tc>
          <w:tcPr>
            <w:tcW w:w="2802" w:type="dxa"/>
            <w:shd w:val="clear" w:color="auto" w:fill="C7DCEF"/>
          </w:tcPr>
          <w:p>
            <w:pPr>
              <w:pStyle w:val="TableParagraph"/>
              <w:spacing w:before="88"/>
              <w:ind w:left="132"/>
              <w:rPr>
                <w:b/>
                <w:sz w:val="16"/>
              </w:rPr>
            </w:pPr>
            <w:r>
              <w:rPr>
                <w:b/>
                <w:color w:val="1A3556"/>
                <w:sz w:val="16"/>
              </w:rPr>
              <w:t>Nivel de riesgo / EIPD</w:t>
            </w:r>
          </w:p>
        </w:tc>
        <w:tc>
          <w:tcPr>
            <w:tcW w:w="6560" w:type="dxa"/>
            <w:shd w:val="clear" w:color="auto" w:fill="FFEDDD"/>
          </w:tcPr>
          <w:p>
            <w:pPr>
              <w:pStyle w:val="TableParagraph"/>
              <w:spacing w:before="77"/>
              <w:rPr>
                <w:sz w:val="18"/>
              </w:rPr>
            </w:pPr>
            <w:r>
              <w:rPr>
                <w:color w:val="1A1A2D"/>
                <w:sz w:val="18"/>
              </w:rPr>
              <w:t>ALTO – Datos de salud de personas en situación de dependencia.</w:t>
            </w:r>
          </w:p>
        </w:tc>
      </w:tr>
    </w:tbl>
    <w:p>
      <w:pPr>
        <w:spacing w:line="240" w:lineRule="auto" w:before="0"/>
        <w:rPr>
          <w:sz w:val="20"/>
        </w:rPr>
      </w:pPr>
    </w:p>
    <w:p>
      <w:pPr>
        <w:spacing w:line="240" w:lineRule="auto" w:before="0"/>
        <w:rPr>
          <w:sz w:val="20"/>
        </w:rPr>
      </w:pPr>
    </w:p>
    <w:p>
      <w:pPr>
        <w:spacing w:line="240" w:lineRule="auto" w:before="2"/>
        <w:rPr>
          <w:sz w:val="19"/>
        </w:rPr>
      </w:pPr>
    </w:p>
    <w:p>
      <w:pPr>
        <w:spacing w:before="57"/>
        <w:ind w:left="647" w:right="0" w:firstLine="0"/>
        <w:jc w:val="center"/>
        <w:rPr>
          <w:sz w:val="22"/>
        </w:rPr>
      </w:pPr>
      <w:r>
        <w:rPr>
          <w:color w:val="4471C4"/>
          <w:w w:val="100"/>
          <w:sz w:val="22"/>
        </w:rPr>
        <w:t>7</w:t>
      </w:r>
    </w:p>
    <w:p>
      <w:pPr>
        <w:spacing w:after="0"/>
        <w:jc w:val="center"/>
        <w:rPr>
          <w:sz w:val="22"/>
        </w:rPr>
        <w:sectPr>
          <w:pgSz w:w="11910" w:h="16840"/>
          <w:pgMar w:top="1580" w:bottom="280" w:left="340" w:right="420"/>
        </w:sectPr>
      </w:pPr>
    </w:p>
    <w:p>
      <w:pPr>
        <w:spacing w:line="240" w:lineRule="auto" w:before="0"/>
        <w:rPr>
          <w:sz w:val="20"/>
        </w:rPr>
      </w:pPr>
      <w:r>
        <w:rPr/>
        <w:pict>
          <v:group style="position:absolute;margin-left:.000009pt;margin-top:36.832428pt;width:559.9pt;height:765.7pt;mso-position-horizontal-relative:page;mso-position-vertical-relative:page;z-index:-254812160" coordorigin="0,737" coordsize="11198,15314">
            <v:shape style="position:absolute;left:0;top:736;width:11198;height:15314" type="#_x0000_t75" stroked="false">
              <v:imagedata r:id="rId5" o:title=""/>
            </v:shape>
            <v:line style="position:absolute" from="1085,2758" to="1085,3048" stroked="true" strokeweight="1.92pt" strokecolor="#1a3556">
              <v:stroke dashstyle="solid"/>
            </v:line>
            <w10:wrap type="none"/>
          </v:group>
        </w:pict>
      </w: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2" w:after="0"/>
        <w:rPr>
          <w:sz w:val="14"/>
        </w:rPr>
      </w:pPr>
    </w:p>
    <w:p>
      <w:pPr>
        <w:spacing w:line="240" w:lineRule="auto"/>
        <w:ind w:left="764" w:right="0" w:firstLine="0"/>
        <w:rPr>
          <w:sz w:val="20"/>
        </w:rPr>
      </w:pPr>
      <w:r>
        <w:rPr>
          <w:sz w:val="20"/>
        </w:rPr>
        <w:pict>
          <v:shape style="width:513.25pt;height:14.55pt;mso-position-horizontal-relative:char;mso-position-vertical-relative:line" type="#_x0000_t202" filled="true" fillcolor="#f4f6f8" stroked="false">
            <w10:anchorlock/>
            <v:textbox inset="0,0,0,0">
              <w:txbxContent>
                <w:p>
                  <w:pPr>
                    <w:pStyle w:val="BodyText"/>
                    <w:spacing w:line="268" w:lineRule="exact"/>
                    <w:ind w:left="129"/>
                  </w:pPr>
                  <w:r>
                    <w:rPr>
                      <w:color w:val="1A3556"/>
                    </w:rPr>
                    <w:t>A-03 – Proyecto educativo y gestión de alumnos con NEAE – CPEE Concertado La Casita</w:t>
                  </w:r>
                </w:p>
              </w:txbxContent>
            </v:textbox>
            <v:fill type="solid"/>
          </v:shape>
        </w:pict>
      </w:r>
      <w:r>
        <w:rPr>
          <w:sz w:val="20"/>
        </w:rPr>
      </w:r>
    </w:p>
    <w:p>
      <w:pPr>
        <w:spacing w:line="240" w:lineRule="auto" w:before="5"/>
        <w:rPr>
          <w:sz w:val="4"/>
        </w:rPr>
      </w:pPr>
    </w:p>
    <w:tbl>
      <w:tblPr>
        <w:tblW w:w="0" w:type="auto"/>
        <w:jc w:val="left"/>
        <w:tblInd w:w="79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474" w:hRule="atLeast"/>
        </w:trPr>
        <w:tc>
          <w:tcPr>
            <w:tcW w:w="2802" w:type="dxa"/>
            <w:shd w:val="clear" w:color="auto" w:fill="C7DCEF"/>
          </w:tcPr>
          <w:p>
            <w:pPr>
              <w:pStyle w:val="TableParagraph"/>
              <w:spacing w:before="11"/>
              <w:ind w:left="132"/>
              <w:rPr>
                <w:b/>
                <w:sz w:val="16"/>
              </w:rPr>
            </w:pPr>
            <w:r>
              <w:rPr>
                <w:b/>
                <w:color w:val="1A3556"/>
                <w:sz w:val="16"/>
              </w:rPr>
              <w:t>Código</w:t>
            </w:r>
          </w:p>
        </w:tc>
        <w:tc>
          <w:tcPr>
            <w:tcW w:w="6560" w:type="dxa"/>
            <w:tcBorders>
              <w:top w:val="single" w:sz="34" w:space="0" w:color="FFFFFF"/>
            </w:tcBorders>
          </w:tcPr>
          <w:p>
            <w:pPr>
              <w:pStyle w:val="TableParagraph"/>
              <w:spacing w:line="217" w:lineRule="exact"/>
              <w:rPr>
                <w:sz w:val="18"/>
              </w:rPr>
            </w:pPr>
            <w:r>
              <w:rPr>
                <w:color w:val="1A1A2D"/>
                <w:sz w:val="18"/>
              </w:rPr>
              <w:t>A-03</w:t>
            </w:r>
          </w:p>
        </w:tc>
      </w:tr>
      <w:tr>
        <w:trPr>
          <w:trHeight w:val="553" w:hRule="atLeast"/>
        </w:trPr>
        <w:tc>
          <w:tcPr>
            <w:tcW w:w="2802" w:type="dxa"/>
            <w:shd w:val="clear" w:color="auto" w:fill="C7DCEF"/>
          </w:tcPr>
          <w:p>
            <w:pPr>
              <w:pStyle w:val="TableParagraph"/>
              <w:spacing w:before="91"/>
              <w:ind w:left="132"/>
              <w:rPr>
                <w:b/>
                <w:sz w:val="16"/>
              </w:rPr>
            </w:pPr>
            <w:r>
              <w:rPr>
                <w:b/>
                <w:color w:val="1A3556"/>
                <w:sz w:val="16"/>
              </w:rPr>
              <w:t>Nombre del tratamiento</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Proyecto educativo y gestión de alumnos con NEAE – CPEE Concertado La Casita</w:t>
            </w:r>
          </w:p>
        </w:tc>
      </w:tr>
      <w:tr>
        <w:trPr>
          <w:trHeight w:val="474" w:hRule="atLeast"/>
        </w:trPr>
        <w:tc>
          <w:tcPr>
            <w:tcW w:w="2802" w:type="dxa"/>
            <w:shd w:val="clear" w:color="auto" w:fill="C7DCEF"/>
          </w:tcPr>
          <w:p>
            <w:pPr>
              <w:pStyle w:val="TableParagraph"/>
              <w:spacing w:before="11"/>
              <w:ind w:left="132"/>
              <w:rPr>
                <w:b/>
                <w:sz w:val="16"/>
              </w:rPr>
            </w:pPr>
            <w:r>
              <w:rPr>
                <w:b/>
                <w:color w:val="1A3556"/>
                <w:sz w:val="16"/>
              </w:rPr>
              <w:t>Rol de FUCAS</w:t>
            </w:r>
          </w:p>
        </w:tc>
        <w:tc>
          <w:tcPr>
            <w:tcW w:w="6560" w:type="dxa"/>
            <w:tcBorders>
              <w:top w:val="single" w:sz="34" w:space="0" w:color="FFFFFF"/>
            </w:tcBorders>
          </w:tcPr>
          <w:p>
            <w:pPr>
              <w:pStyle w:val="TableParagraph"/>
              <w:spacing w:line="217" w:lineRule="exact"/>
              <w:rPr>
                <w:sz w:val="18"/>
              </w:rPr>
            </w:pPr>
            <w:r>
              <w:rPr>
                <w:color w:val="1A1A2D"/>
                <w:sz w:val="18"/>
              </w:rPr>
              <w:t>RESPONSABLE</w:t>
            </w:r>
          </w:p>
        </w:tc>
      </w:tr>
      <w:tr>
        <w:trPr>
          <w:trHeight w:val="1265" w:hRule="atLeast"/>
        </w:trPr>
        <w:tc>
          <w:tcPr>
            <w:tcW w:w="2802" w:type="dxa"/>
            <w:shd w:val="clear" w:color="auto" w:fill="C7DCEF"/>
          </w:tcPr>
          <w:p>
            <w:pPr>
              <w:pStyle w:val="TableParagraph"/>
              <w:ind w:left="0"/>
              <w:rPr>
                <w:sz w:val="16"/>
              </w:rPr>
            </w:pPr>
          </w:p>
          <w:p>
            <w:pPr>
              <w:pStyle w:val="TableParagraph"/>
              <w:spacing w:before="6"/>
              <w:ind w:left="0"/>
              <w:rPr>
                <w:sz w:val="20"/>
              </w:rPr>
            </w:pPr>
          </w:p>
          <w:p>
            <w:pPr>
              <w:pStyle w:val="TableParagraph"/>
              <w:spacing w:before="1"/>
              <w:ind w:left="132"/>
              <w:rPr>
                <w:b/>
                <w:sz w:val="16"/>
              </w:rPr>
            </w:pPr>
            <w:r>
              <w:rPr>
                <w:b/>
                <w:color w:val="1A3556"/>
                <w:sz w:val="16"/>
              </w:rPr>
              <w:t>Finalidad del tratamiento</w:t>
            </w:r>
          </w:p>
        </w:tc>
        <w:tc>
          <w:tcPr>
            <w:tcW w:w="6560" w:type="dxa"/>
            <w:shd w:val="clear" w:color="auto" w:fill="F4F6F8"/>
          </w:tcPr>
          <w:p>
            <w:pPr>
              <w:pStyle w:val="TableParagraph"/>
              <w:spacing w:line="259" w:lineRule="auto" w:before="79"/>
              <w:ind w:right="294"/>
              <w:rPr>
                <w:sz w:val="18"/>
              </w:rPr>
            </w:pPr>
            <w:r>
              <w:rPr>
                <w:color w:val="1A1A2D"/>
                <w:sz w:val="18"/>
              </w:rPr>
              <w:t>Gestión del proceso educativo, rehabilitador y asistencial de alumnos con Necesidades Específicas de Apoyo Educativo (NEAE) del CPEE Concertado La Casita: matriculación, altas y bajas, seguimiento pedagógico, atención temprana, rehabilitación neurológica, logopedia, servicio sanitario y coordinación con familias.</w:t>
            </w:r>
          </w:p>
        </w:tc>
      </w:tr>
      <w:tr>
        <w:trPr>
          <w:trHeight w:val="1266" w:hRule="atLeast"/>
        </w:trPr>
        <w:tc>
          <w:tcPr>
            <w:tcW w:w="2802" w:type="dxa"/>
            <w:shd w:val="clear" w:color="auto" w:fill="C7DCEF"/>
          </w:tcPr>
          <w:p>
            <w:pPr>
              <w:pStyle w:val="TableParagraph"/>
              <w:ind w:left="0"/>
              <w:rPr>
                <w:sz w:val="16"/>
              </w:rPr>
            </w:pPr>
          </w:p>
          <w:p>
            <w:pPr>
              <w:pStyle w:val="TableParagraph"/>
              <w:spacing w:before="6"/>
              <w:ind w:left="0"/>
              <w:rPr>
                <w:sz w:val="20"/>
              </w:rPr>
            </w:pPr>
          </w:p>
          <w:p>
            <w:pPr>
              <w:pStyle w:val="TableParagraph"/>
              <w:spacing w:before="1"/>
              <w:ind w:left="132"/>
              <w:rPr>
                <w:b/>
                <w:sz w:val="16"/>
              </w:rPr>
            </w:pPr>
            <w:r>
              <w:rPr>
                <w:b/>
                <w:color w:val="1A3556"/>
                <w:sz w:val="16"/>
              </w:rPr>
              <w:t>Base jurídica</w:t>
            </w:r>
          </w:p>
        </w:tc>
        <w:tc>
          <w:tcPr>
            <w:tcW w:w="6560" w:type="dxa"/>
          </w:tcPr>
          <w:p>
            <w:pPr>
              <w:pStyle w:val="TableParagraph"/>
              <w:spacing w:line="256" w:lineRule="auto" w:before="81"/>
              <w:ind w:right="385"/>
              <w:rPr>
                <w:sz w:val="18"/>
              </w:rPr>
            </w:pPr>
            <w:r>
              <w:rPr>
                <w:color w:val="1A1A2D"/>
                <w:sz w:val="18"/>
              </w:rPr>
              <w:t>Art. 6.1.c) RGPD – Obligación legal; art. 9.2.b) y h) RGPD – datos de salud. LOE (LO 2/2006); Decreto 81/2010 de ordenación de enseñanza en Canarias; concierto educativo con Consejería de Educación del Gobierno de Canarias; RD 67/2012; Ley 2/1998 de Fundaciones Canarias; art. 8 Estatutos FUCAS.</w:t>
            </w:r>
          </w:p>
        </w:tc>
      </w:tr>
      <w:tr>
        <w:trPr>
          <w:trHeight w:val="1502" w:hRule="atLeast"/>
        </w:trPr>
        <w:tc>
          <w:tcPr>
            <w:tcW w:w="2802" w:type="dxa"/>
            <w:shd w:val="clear" w:color="auto" w:fill="C7DCEF"/>
          </w:tcPr>
          <w:p>
            <w:pPr>
              <w:pStyle w:val="TableParagraph"/>
              <w:ind w:left="0"/>
              <w:rPr>
                <w:sz w:val="16"/>
              </w:rPr>
            </w:pPr>
          </w:p>
          <w:p>
            <w:pPr>
              <w:pStyle w:val="TableParagraph"/>
              <w:ind w:left="0"/>
              <w:rPr>
                <w:sz w:val="16"/>
              </w:rPr>
            </w:pPr>
          </w:p>
          <w:p>
            <w:pPr>
              <w:pStyle w:val="TableParagraph"/>
              <w:spacing w:before="2"/>
              <w:ind w:left="0"/>
              <w:rPr>
                <w:sz w:val="14"/>
              </w:rPr>
            </w:pPr>
          </w:p>
          <w:p>
            <w:pPr>
              <w:pStyle w:val="TableParagraph"/>
              <w:ind w:left="132"/>
              <w:rPr>
                <w:b/>
                <w:sz w:val="16"/>
              </w:rPr>
            </w:pPr>
            <w:r>
              <w:rPr>
                <w:b/>
                <w:color w:val="1A3556"/>
                <w:sz w:val="16"/>
              </w:rPr>
              <w:t>Categorías de datos personales</w:t>
            </w:r>
          </w:p>
        </w:tc>
        <w:tc>
          <w:tcPr>
            <w:tcW w:w="6560" w:type="dxa"/>
            <w:shd w:val="clear" w:color="auto" w:fill="F4F6F8"/>
          </w:tcPr>
          <w:p>
            <w:pPr>
              <w:pStyle w:val="TableParagraph"/>
              <w:spacing w:line="259" w:lineRule="auto" w:before="79"/>
              <w:ind w:right="235"/>
              <w:rPr>
                <w:sz w:val="18"/>
              </w:rPr>
            </w:pPr>
            <w:r>
              <w:rPr>
                <w:color w:val="1A1A2D"/>
                <w:sz w:val="18"/>
              </w:rPr>
              <w:t>CATEGORÍAS ESPECIALES: Datos de salud (informes médicos, dictámenes técnicos, resolución de dependencia, informes sociales, historial de rehabilitación). Datos ordinarios: identificativos (nombre, DNI/CIF, dirección, tarjeta sanitaria); características personales (edad, características físicas); datos de formación (exámenes, notas, asistencia).</w:t>
            </w:r>
          </w:p>
        </w:tc>
      </w:tr>
      <w:tr>
        <w:trPr>
          <w:trHeight w:val="792"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Colectivos de interesados</w:t>
            </w:r>
          </w:p>
        </w:tc>
        <w:tc>
          <w:tcPr>
            <w:tcW w:w="6560" w:type="dxa"/>
          </w:tcPr>
          <w:p>
            <w:pPr>
              <w:pStyle w:val="TableParagraph"/>
              <w:spacing w:line="256" w:lineRule="auto" w:before="79"/>
              <w:ind w:right="235"/>
              <w:rPr>
                <w:sz w:val="18"/>
              </w:rPr>
            </w:pPr>
            <w:r>
              <w:rPr>
                <w:color w:val="1A1A2D"/>
                <w:sz w:val="18"/>
              </w:rPr>
              <w:t>Alumnos del centro con NEAE (entre 0 y 21 años) con discapacidad física y/o cognitiva. Progenitores o tutores legales.</w:t>
            </w:r>
          </w:p>
        </w:tc>
      </w:tr>
      <w:tr>
        <w:trPr>
          <w:trHeight w:val="1026" w:hRule="atLeast"/>
        </w:trPr>
        <w:tc>
          <w:tcPr>
            <w:tcW w:w="2802" w:type="dxa"/>
            <w:shd w:val="clear" w:color="auto" w:fill="C7DCEF"/>
          </w:tcPr>
          <w:p>
            <w:pPr>
              <w:pStyle w:val="TableParagraph"/>
              <w:ind w:left="0"/>
              <w:rPr>
                <w:sz w:val="16"/>
              </w:rPr>
            </w:pPr>
          </w:p>
          <w:p>
            <w:pPr>
              <w:pStyle w:val="TableParagraph"/>
              <w:spacing w:before="131"/>
              <w:ind w:left="132"/>
              <w:rPr>
                <w:b/>
                <w:sz w:val="16"/>
              </w:rPr>
            </w:pPr>
            <w:r>
              <w:rPr>
                <w:b/>
                <w:color w:val="1A3556"/>
                <w:sz w:val="16"/>
              </w:rPr>
              <w:t>Destinatarios / Cesionarios</w:t>
            </w:r>
          </w:p>
        </w:tc>
        <w:tc>
          <w:tcPr>
            <w:tcW w:w="6560" w:type="dxa"/>
            <w:tcBorders>
              <w:bottom w:val="single" w:sz="34" w:space="0" w:color="FFFFFF"/>
            </w:tcBorders>
            <w:shd w:val="clear" w:color="auto" w:fill="F4F6F8"/>
          </w:tcPr>
          <w:p>
            <w:pPr>
              <w:pStyle w:val="TableParagraph"/>
              <w:spacing w:line="259" w:lineRule="auto" w:before="79"/>
              <w:ind w:right="235"/>
              <w:rPr>
                <w:sz w:val="18"/>
              </w:rPr>
            </w:pPr>
            <w:r>
              <w:rPr>
                <w:color w:val="1A1A2D"/>
                <w:sz w:val="18"/>
              </w:rPr>
              <w:t>Consejería de Educación del Gobierno de Canarias (concierto educativo); Consejería de Sanidad / Servicio Canario de Salud (programa de rehabilitación ambulatoria); asociaciones colaboradoras del centro.</w:t>
            </w:r>
          </w:p>
        </w:tc>
      </w:tr>
      <w:tr>
        <w:trPr>
          <w:trHeight w:val="712" w:hRule="atLeast"/>
        </w:trPr>
        <w:tc>
          <w:tcPr>
            <w:tcW w:w="2802" w:type="dxa"/>
            <w:shd w:val="clear" w:color="auto" w:fill="C7DCEF"/>
          </w:tcPr>
          <w:p>
            <w:pPr>
              <w:pStyle w:val="TableParagraph"/>
              <w:spacing w:before="129"/>
              <w:ind w:left="132"/>
              <w:rPr>
                <w:b/>
                <w:sz w:val="16"/>
              </w:rPr>
            </w:pPr>
            <w:r>
              <w:rPr>
                <w:b/>
                <w:color w:val="1A3556"/>
                <w:sz w:val="16"/>
              </w:rPr>
              <w:t>Plazo de conservación</w:t>
            </w:r>
          </w:p>
        </w:tc>
        <w:tc>
          <w:tcPr>
            <w:tcW w:w="6560" w:type="dxa"/>
            <w:tcBorders>
              <w:top w:val="single" w:sz="34" w:space="0" w:color="FFFFFF"/>
            </w:tcBorders>
          </w:tcPr>
          <w:p>
            <w:pPr>
              <w:pStyle w:val="TableParagraph"/>
              <w:spacing w:line="254" w:lineRule="auto" w:before="2"/>
              <w:ind w:right="390"/>
              <w:rPr>
                <w:sz w:val="18"/>
              </w:rPr>
            </w:pPr>
            <w:r>
              <w:rPr>
                <w:color w:val="1A1A2D"/>
                <w:sz w:val="18"/>
              </w:rPr>
              <w:t>Expediente académico: 25 años desde la finalización de la escolarización. Datos de salud vinculados: 15 años. Datos de facturación y becas: 6 años.</w:t>
            </w:r>
          </w:p>
        </w:tc>
      </w:tr>
      <w:tr>
        <w:trPr>
          <w:trHeight w:val="553" w:hRule="atLeast"/>
        </w:trPr>
        <w:tc>
          <w:tcPr>
            <w:tcW w:w="2802" w:type="dxa"/>
            <w:shd w:val="clear" w:color="auto" w:fill="C7DCEF"/>
          </w:tcPr>
          <w:p>
            <w:pPr>
              <w:pStyle w:val="TableParagraph"/>
              <w:spacing w:before="91"/>
              <w:ind w:left="132"/>
              <w:rPr>
                <w:b/>
                <w:sz w:val="16"/>
              </w:rPr>
            </w:pPr>
            <w:r>
              <w:rPr>
                <w:b/>
                <w:color w:val="1A3556"/>
                <w:sz w:val="16"/>
              </w:rPr>
              <w:t>Transferencias internacionales</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No se realizan transferencias internacionales de datos personales.</w:t>
            </w:r>
          </w:p>
        </w:tc>
      </w:tr>
      <w:tr>
        <w:trPr>
          <w:trHeight w:val="949" w:hRule="atLeast"/>
        </w:trPr>
        <w:tc>
          <w:tcPr>
            <w:tcW w:w="2802" w:type="dxa"/>
            <w:shd w:val="clear" w:color="auto" w:fill="C7DCEF"/>
          </w:tcPr>
          <w:p>
            <w:pPr>
              <w:pStyle w:val="TableParagraph"/>
              <w:spacing w:before="11"/>
              <w:ind w:left="0"/>
              <w:rPr>
                <w:sz w:val="11"/>
              </w:rPr>
            </w:pPr>
          </w:p>
          <w:p>
            <w:pPr>
              <w:pStyle w:val="TableParagraph"/>
              <w:spacing w:line="254" w:lineRule="auto"/>
              <w:ind w:left="132" w:right="267"/>
              <w:rPr>
                <w:b/>
                <w:sz w:val="16"/>
              </w:rPr>
            </w:pPr>
            <w:r>
              <w:rPr>
                <w:b/>
                <w:color w:val="1A3556"/>
                <w:sz w:val="16"/>
              </w:rPr>
              <w:t>Medidas técnicas y organizativas de seguridad</w:t>
            </w:r>
          </w:p>
        </w:tc>
        <w:tc>
          <w:tcPr>
            <w:tcW w:w="6560" w:type="dxa"/>
            <w:tcBorders>
              <w:top w:val="single" w:sz="34" w:space="0" w:color="FFFFFF"/>
            </w:tcBorders>
          </w:tcPr>
          <w:p>
            <w:pPr>
              <w:pStyle w:val="TableParagraph"/>
              <w:spacing w:line="259" w:lineRule="auto"/>
              <w:ind w:right="512"/>
              <w:rPr>
                <w:sz w:val="18"/>
              </w:rPr>
            </w:pPr>
            <w:r>
              <w:rPr>
                <w:color w:val="1A1A2D"/>
                <w:sz w:val="18"/>
              </w:rPr>
              <w:t>Acceso restringido al equipo docente, sanitario y psicopedagógico; protocolo específico para datos de menores; separación lógica de datos de salud y datos académicos; cifrado de comunicaciones con familias; medidas ENS RD 311/2022.</w:t>
            </w:r>
          </w:p>
        </w:tc>
      </w:tr>
      <w:tr>
        <w:trPr>
          <w:trHeight w:val="1027" w:hRule="atLeast"/>
        </w:trPr>
        <w:tc>
          <w:tcPr>
            <w:tcW w:w="2802" w:type="dxa"/>
            <w:shd w:val="clear" w:color="auto" w:fill="C7DCEF"/>
          </w:tcPr>
          <w:p>
            <w:pPr>
              <w:pStyle w:val="TableParagraph"/>
              <w:ind w:left="0"/>
              <w:rPr>
                <w:sz w:val="16"/>
              </w:rPr>
            </w:pPr>
          </w:p>
          <w:p>
            <w:pPr>
              <w:pStyle w:val="TableParagraph"/>
              <w:spacing w:before="131"/>
              <w:ind w:left="132"/>
              <w:rPr>
                <w:b/>
                <w:sz w:val="16"/>
              </w:rPr>
            </w:pPr>
            <w:r>
              <w:rPr>
                <w:b/>
                <w:color w:val="1A3556"/>
                <w:sz w:val="16"/>
              </w:rPr>
              <w:t>Encargados del tratamiento</w:t>
            </w:r>
          </w:p>
        </w:tc>
        <w:tc>
          <w:tcPr>
            <w:tcW w:w="6560" w:type="dxa"/>
            <w:shd w:val="clear" w:color="auto" w:fill="F4F6F8"/>
          </w:tcPr>
          <w:p>
            <w:pPr>
              <w:pStyle w:val="TableParagraph"/>
              <w:spacing w:line="256" w:lineRule="auto" w:before="80"/>
              <w:rPr>
                <w:sz w:val="18"/>
              </w:rPr>
            </w:pPr>
            <w:r>
              <w:rPr>
                <w:color w:val="1A1A2D"/>
                <w:sz w:val="18"/>
              </w:rPr>
              <w:t>Transportes Abianyera S.L. (transporte escolar); Grupo 5 Acción y Gestión Social S.A. (servicios de apoyo); proveedores de servicios informáticos del centro. Todos con contrato art. 28 RGPD.</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Nivel de riesgo / EIPD</w:t>
            </w:r>
          </w:p>
        </w:tc>
        <w:tc>
          <w:tcPr>
            <w:tcW w:w="6560" w:type="dxa"/>
            <w:shd w:val="clear" w:color="auto" w:fill="FFDFD5"/>
          </w:tcPr>
          <w:p>
            <w:pPr>
              <w:pStyle w:val="TableParagraph"/>
              <w:spacing w:before="77"/>
              <w:rPr>
                <w:sz w:val="18"/>
              </w:rPr>
            </w:pPr>
            <w:r>
              <w:rPr>
                <w:color w:val="1A1A2D"/>
                <w:sz w:val="18"/>
              </w:rPr>
              <w:t>MUY ALTO – Datos de salud de menores con discapacidad; requiere EIPD.</w:t>
            </w:r>
          </w:p>
        </w:tc>
      </w:tr>
    </w:tbl>
    <w:p>
      <w:pPr>
        <w:spacing w:line="240" w:lineRule="auto" w:before="0"/>
        <w:rPr>
          <w:sz w:val="20"/>
        </w:rPr>
      </w:pPr>
    </w:p>
    <w:p>
      <w:pPr>
        <w:spacing w:line="240" w:lineRule="auto" w:before="0"/>
        <w:rPr>
          <w:sz w:val="20"/>
        </w:rPr>
      </w:pPr>
    </w:p>
    <w:p>
      <w:pPr>
        <w:spacing w:line="240" w:lineRule="auto" w:before="0"/>
        <w:rPr>
          <w:sz w:val="20"/>
        </w:rPr>
      </w:pPr>
    </w:p>
    <w:p>
      <w:pPr>
        <w:spacing w:before="194"/>
        <w:ind w:left="647" w:right="0" w:firstLine="0"/>
        <w:jc w:val="center"/>
        <w:rPr>
          <w:sz w:val="22"/>
        </w:rPr>
      </w:pPr>
      <w:r>
        <w:rPr>
          <w:color w:val="4471C4"/>
          <w:w w:val="100"/>
          <w:sz w:val="22"/>
        </w:rPr>
        <w:t>8</w:t>
      </w:r>
    </w:p>
    <w:p>
      <w:pPr>
        <w:spacing w:after="0"/>
        <w:jc w:val="center"/>
        <w:rPr>
          <w:sz w:val="22"/>
        </w:rPr>
        <w:sectPr>
          <w:pgSz w:w="11910" w:h="16840"/>
          <w:pgMar w:top="1580" w:bottom="280" w:left="340" w:right="420"/>
        </w:sectPr>
      </w:pPr>
    </w:p>
    <w:p>
      <w:pPr>
        <w:spacing w:line="240" w:lineRule="auto" w:before="0"/>
        <w:rPr>
          <w:sz w:val="20"/>
        </w:rPr>
      </w:pPr>
      <w:r>
        <w:rPr/>
        <w:pict>
          <v:group style="position:absolute;margin-left:.000009pt;margin-top:36.832428pt;width:559.9pt;height:765.7pt;mso-position-horizontal-relative:page;mso-position-vertical-relative:page;z-index:-254809088" coordorigin="0,737" coordsize="11198,15314">
            <v:shape style="position:absolute;left:0;top:736;width:11198;height:15314" type="#_x0000_t75" stroked="false">
              <v:imagedata r:id="rId5" o:title=""/>
            </v:shape>
            <v:line style="position:absolute" from="1085,2268" to="1085,2559" stroked="true" strokeweight="1.92pt" strokecolor="#1a3556">
              <v:stroke dashstyle="solid"/>
            </v:line>
            <v:line style="position:absolute" from="1085,12986" to="1085,13274" stroked="true" strokeweight="1.92pt" strokecolor="#1a3556">
              <v:stroke dashstyle="solid"/>
            </v:line>
            <w10:wrap type="none"/>
          </v:group>
        </w:pict>
      </w:r>
    </w:p>
    <w:p>
      <w:pPr>
        <w:spacing w:line="240" w:lineRule="auto" w:before="0"/>
        <w:rPr>
          <w:sz w:val="20"/>
        </w:rPr>
      </w:pPr>
    </w:p>
    <w:p>
      <w:pPr>
        <w:spacing w:line="240" w:lineRule="auto" w:before="10" w:after="1"/>
        <w:rPr>
          <w:sz w:val="14"/>
        </w:rPr>
      </w:pPr>
    </w:p>
    <w:p>
      <w:pPr>
        <w:spacing w:line="240" w:lineRule="auto"/>
        <w:ind w:left="764" w:right="0" w:firstLine="0"/>
        <w:rPr>
          <w:sz w:val="20"/>
        </w:rPr>
      </w:pPr>
      <w:r>
        <w:rPr>
          <w:sz w:val="20"/>
        </w:rPr>
        <w:pict>
          <v:shape style="width:513.25pt;height:14.55pt;mso-position-horizontal-relative:char;mso-position-vertical-relative:line" type="#_x0000_t202" filled="true" fillcolor="#f4f6f8" stroked="false">
            <w10:anchorlock/>
            <v:textbox inset="0,0,0,0">
              <w:txbxContent>
                <w:p>
                  <w:pPr>
                    <w:pStyle w:val="BodyText"/>
                    <w:spacing w:line="268" w:lineRule="exact"/>
                    <w:ind w:left="129"/>
                  </w:pPr>
                  <w:r>
                    <w:rPr>
                      <w:color w:val="1A3556"/>
                    </w:rPr>
                    <w:t>A-04 – Dirección y administración – CPEE Concertado La Casita</w:t>
                  </w:r>
                </w:p>
              </w:txbxContent>
            </v:textbox>
            <v:fill type="solid"/>
          </v:shape>
        </w:pict>
      </w:r>
      <w:r>
        <w:rPr>
          <w:sz w:val="20"/>
        </w:rPr>
      </w:r>
    </w:p>
    <w:p>
      <w:pPr>
        <w:spacing w:line="240" w:lineRule="auto" w:before="5"/>
        <w:rPr>
          <w:sz w:val="4"/>
        </w:rPr>
      </w:pPr>
    </w:p>
    <w:tbl>
      <w:tblPr>
        <w:tblW w:w="0" w:type="auto"/>
        <w:jc w:val="left"/>
        <w:tblInd w:w="79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474" w:hRule="atLeast"/>
        </w:trPr>
        <w:tc>
          <w:tcPr>
            <w:tcW w:w="2802" w:type="dxa"/>
            <w:shd w:val="clear" w:color="auto" w:fill="C7DCEF"/>
          </w:tcPr>
          <w:p>
            <w:pPr>
              <w:pStyle w:val="TableParagraph"/>
              <w:spacing w:before="11"/>
              <w:ind w:left="132"/>
              <w:rPr>
                <w:b/>
                <w:sz w:val="16"/>
              </w:rPr>
            </w:pPr>
            <w:r>
              <w:rPr>
                <w:b/>
                <w:color w:val="1A3556"/>
                <w:sz w:val="16"/>
              </w:rPr>
              <w:t>Código</w:t>
            </w:r>
          </w:p>
        </w:tc>
        <w:tc>
          <w:tcPr>
            <w:tcW w:w="6560" w:type="dxa"/>
            <w:tcBorders>
              <w:top w:val="single" w:sz="34" w:space="0" w:color="FFFFFF"/>
            </w:tcBorders>
          </w:tcPr>
          <w:p>
            <w:pPr>
              <w:pStyle w:val="TableParagraph"/>
              <w:spacing w:line="217" w:lineRule="exact"/>
              <w:rPr>
                <w:sz w:val="18"/>
              </w:rPr>
            </w:pPr>
            <w:r>
              <w:rPr>
                <w:color w:val="1A1A2D"/>
                <w:sz w:val="18"/>
              </w:rPr>
              <w:t>A-04</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Nombre del tratamiento</w:t>
            </w:r>
          </w:p>
        </w:tc>
        <w:tc>
          <w:tcPr>
            <w:tcW w:w="6560" w:type="dxa"/>
            <w:shd w:val="clear" w:color="auto" w:fill="F4F6F8"/>
          </w:tcPr>
          <w:p>
            <w:pPr>
              <w:pStyle w:val="TableParagraph"/>
              <w:spacing w:before="77"/>
              <w:rPr>
                <w:sz w:val="18"/>
              </w:rPr>
            </w:pPr>
            <w:r>
              <w:rPr>
                <w:color w:val="1A1A2D"/>
                <w:sz w:val="18"/>
              </w:rPr>
              <w:t>Dirección y administración – CPEE Concertado La Casita</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Rol de FUCAS</w:t>
            </w:r>
          </w:p>
        </w:tc>
        <w:tc>
          <w:tcPr>
            <w:tcW w:w="6560" w:type="dxa"/>
          </w:tcPr>
          <w:p>
            <w:pPr>
              <w:pStyle w:val="TableParagraph"/>
              <w:spacing w:before="77"/>
              <w:rPr>
                <w:sz w:val="18"/>
              </w:rPr>
            </w:pPr>
            <w:r>
              <w:rPr>
                <w:color w:val="1A1A2D"/>
                <w:sz w:val="18"/>
              </w:rPr>
              <w:t>RESPONSABLE</w:t>
            </w:r>
          </w:p>
        </w:tc>
      </w:tr>
      <w:tr>
        <w:trPr>
          <w:trHeight w:val="1029" w:hRule="atLeast"/>
        </w:trPr>
        <w:tc>
          <w:tcPr>
            <w:tcW w:w="2802" w:type="dxa"/>
            <w:shd w:val="clear" w:color="auto" w:fill="C7DCEF"/>
          </w:tcPr>
          <w:p>
            <w:pPr>
              <w:pStyle w:val="TableParagraph"/>
              <w:ind w:left="0"/>
              <w:rPr>
                <w:sz w:val="16"/>
              </w:rPr>
            </w:pPr>
          </w:p>
          <w:p>
            <w:pPr>
              <w:pStyle w:val="TableParagraph"/>
              <w:spacing w:before="131"/>
              <w:ind w:left="132"/>
              <w:rPr>
                <w:b/>
                <w:sz w:val="16"/>
              </w:rPr>
            </w:pPr>
            <w:r>
              <w:rPr>
                <w:b/>
                <w:color w:val="1A3556"/>
                <w:sz w:val="16"/>
              </w:rPr>
              <w:t>Finalidad del tratamiento</w:t>
            </w:r>
          </w:p>
        </w:tc>
        <w:tc>
          <w:tcPr>
            <w:tcW w:w="6560" w:type="dxa"/>
            <w:tcBorders>
              <w:bottom w:val="single" w:sz="34" w:space="0" w:color="FFFFFF"/>
            </w:tcBorders>
            <w:shd w:val="clear" w:color="auto" w:fill="F4F6F8"/>
          </w:tcPr>
          <w:p>
            <w:pPr>
              <w:pStyle w:val="TableParagraph"/>
              <w:spacing w:line="259" w:lineRule="auto" w:before="79"/>
              <w:ind w:right="699"/>
              <w:jc w:val="both"/>
              <w:rPr>
                <w:sz w:val="18"/>
              </w:rPr>
            </w:pPr>
            <w:r>
              <w:rPr>
                <w:color w:val="1A1A2D"/>
                <w:sz w:val="18"/>
              </w:rPr>
              <w:t>Gestión y administración integral del centro: gestión de recursos humanos del personal del centro, relación con proveedores, documentación</w:t>
            </w:r>
            <w:r>
              <w:rPr>
                <w:color w:val="1A1A2D"/>
                <w:spacing w:val="-26"/>
                <w:sz w:val="18"/>
              </w:rPr>
              <w:t> </w:t>
            </w:r>
            <w:r>
              <w:rPr>
                <w:color w:val="1A1A2D"/>
                <w:sz w:val="18"/>
              </w:rPr>
              <w:t>administrativa, cumplimiento normativo y coordinación</w:t>
            </w:r>
            <w:r>
              <w:rPr>
                <w:color w:val="1A1A2D"/>
                <w:spacing w:val="-2"/>
                <w:sz w:val="18"/>
              </w:rPr>
              <w:t> </w:t>
            </w:r>
            <w:r>
              <w:rPr>
                <w:color w:val="1A1A2D"/>
                <w:sz w:val="18"/>
              </w:rPr>
              <w:t>institucional.</w:t>
            </w:r>
          </w:p>
        </w:tc>
      </w:tr>
      <w:tr>
        <w:trPr>
          <w:trHeight w:val="710" w:hRule="atLeast"/>
        </w:trPr>
        <w:tc>
          <w:tcPr>
            <w:tcW w:w="2802" w:type="dxa"/>
            <w:shd w:val="clear" w:color="auto" w:fill="C7DCEF"/>
          </w:tcPr>
          <w:p>
            <w:pPr>
              <w:pStyle w:val="TableParagraph"/>
              <w:spacing w:before="129"/>
              <w:ind w:left="132"/>
              <w:rPr>
                <w:b/>
                <w:sz w:val="16"/>
              </w:rPr>
            </w:pPr>
            <w:r>
              <w:rPr>
                <w:b/>
                <w:color w:val="1A3556"/>
                <w:sz w:val="16"/>
              </w:rPr>
              <w:t>Base jurídica</w:t>
            </w:r>
          </w:p>
        </w:tc>
        <w:tc>
          <w:tcPr>
            <w:tcW w:w="6560" w:type="dxa"/>
            <w:tcBorders>
              <w:top w:val="single" w:sz="34" w:space="0" w:color="FFFFFF"/>
            </w:tcBorders>
          </w:tcPr>
          <w:p>
            <w:pPr>
              <w:pStyle w:val="TableParagraph"/>
              <w:spacing w:line="256" w:lineRule="auto"/>
              <w:ind w:right="494"/>
              <w:rPr>
                <w:sz w:val="18"/>
              </w:rPr>
            </w:pPr>
            <w:r>
              <w:rPr>
                <w:color w:val="1A1A2D"/>
                <w:sz w:val="18"/>
              </w:rPr>
              <w:t>Art. 6.1.b) y c) RGPD – relación contractual y obligación legal. LOE; Ley 2/1998 de Fundaciones Canarias; art. 8 Estatutos FUCAS.</w:t>
            </w:r>
          </w:p>
        </w:tc>
      </w:tr>
      <w:tr>
        <w:trPr>
          <w:trHeight w:val="1266" w:hRule="atLeast"/>
        </w:trPr>
        <w:tc>
          <w:tcPr>
            <w:tcW w:w="2802" w:type="dxa"/>
            <w:shd w:val="clear" w:color="auto" w:fill="C7DCEF"/>
          </w:tcPr>
          <w:p>
            <w:pPr>
              <w:pStyle w:val="TableParagraph"/>
              <w:ind w:left="0"/>
              <w:rPr>
                <w:sz w:val="16"/>
              </w:rPr>
            </w:pPr>
          </w:p>
          <w:p>
            <w:pPr>
              <w:pStyle w:val="TableParagraph"/>
              <w:spacing w:before="6"/>
              <w:ind w:left="0"/>
              <w:rPr>
                <w:sz w:val="20"/>
              </w:rPr>
            </w:pPr>
          </w:p>
          <w:p>
            <w:pPr>
              <w:pStyle w:val="TableParagraph"/>
              <w:spacing w:before="1"/>
              <w:ind w:left="132"/>
              <w:rPr>
                <w:b/>
                <w:sz w:val="16"/>
              </w:rPr>
            </w:pPr>
            <w:r>
              <w:rPr>
                <w:b/>
                <w:color w:val="1A3556"/>
                <w:sz w:val="16"/>
              </w:rPr>
              <w:t>Categorías de datos personales</w:t>
            </w:r>
          </w:p>
        </w:tc>
        <w:tc>
          <w:tcPr>
            <w:tcW w:w="6560" w:type="dxa"/>
            <w:tcBorders>
              <w:bottom w:val="single" w:sz="34" w:space="0" w:color="FFFFFF"/>
            </w:tcBorders>
            <w:shd w:val="clear" w:color="auto" w:fill="F4F6F8"/>
          </w:tcPr>
          <w:p>
            <w:pPr>
              <w:pStyle w:val="TableParagraph"/>
              <w:spacing w:line="256" w:lineRule="auto" w:before="81"/>
              <w:ind w:right="235"/>
              <w:rPr>
                <w:sz w:val="18"/>
              </w:rPr>
            </w:pPr>
            <w:r>
              <w:rPr>
                <w:color w:val="1A1A2D"/>
                <w:sz w:val="18"/>
              </w:rPr>
              <w:t>CATEGORÍAS ESPECIALES (personal): Datos de salud (IT, vigilancia de la salud). Datos ordinarios: identificativos (nombre, DNI, teléfono, domicilio) de alumnos, tutores, personal y proveedores; características personales; datos académicos y currículum vitae del personal.</w:t>
            </w:r>
          </w:p>
        </w:tc>
      </w:tr>
      <w:tr>
        <w:trPr>
          <w:trHeight w:val="709" w:hRule="atLeast"/>
        </w:trPr>
        <w:tc>
          <w:tcPr>
            <w:tcW w:w="2802" w:type="dxa"/>
            <w:shd w:val="clear" w:color="auto" w:fill="C7DCEF"/>
          </w:tcPr>
          <w:p>
            <w:pPr>
              <w:pStyle w:val="TableParagraph"/>
              <w:spacing w:before="129"/>
              <w:ind w:left="132"/>
              <w:rPr>
                <w:b/>
                <w:sz w:val="16"/>
              </w:rPr>
            </w:pPr>
            <w:r>
              <w:rPr>
                <w:b/>
                <w:color w:val="1A3556"/>
                <w:sz w:val="16"/>
              </w:rPr>
              <w:t>Colectivos de interesados</w:t>
            </w:r>
          </w:p>
        </w:tc>
        <w:tc>
          <w:tcPr>
            <w:tcW w:w="6560" w:type="dxa"/>
            <w:tcBorders>
              <w:top w:val="single" w:sz="34" w:space="0" w:color="FFFFFF"/>
            </w:tcBorders>
          </w:tcPr>
          <w:p>
            <w:pPr>
              <w:pStyle w:val="TableParagraph"/>
              <w:spacing w:line="256" w:lineRule="auto"/>
              <w:rPr>
                <w:sz w:val="18"/>
              </w:rPr>
            </w:pPr>
            <w:r>
              <w:rPr>
                <w:color w:val="1A1A2D"/>
                <w:sz w:val="18"/>
              </w:rPr>
              <w:t>Alumnos (3-21 años) y sus representantes legales; profesionales del centro; proveedores.</w:t>
            </w:r>
          </w:p>
        </w:tc>
      </w:tr>
      <w:tr>
        <w:trPr>
          <w:trHeight w:val="553" w:hRule="atLeast"/>
        </w:trPr>
        <w:tc>
          <w:tcPr>
            <w:tcW w:w="2802" w:type="dxa"/>
            <w:shd w:val="clear" w:color="auto" w:fill="C7DCEF"/>
          </w:tcPr>
          <w:p>
            <w:pPr>
              <w:pStyle w:val="TableParagraph"/>
              <w:spacing w:before="91"/>
              <w:ind w:left="132"/>
              <w:rPr>
                <w:b/>
                <w:sz w:val="16"/>
              </w:rPr>
            </w:pPr>
            <w:r>
              <w:rPr>
                <w:b/>
                <w:color w:val="1A3556"/>
                <w:sz w:val="16"/>
              </w:rPr>
              <w:t>Destinatarios / Cesionarios</w:t>
            </w:r>
          </w:p>
        </w:tc>
        <w:tc>
          <w:tcPr>
            <w:tcW w:w="6560" w:type="dxa"/>
            <w:tcBorders>
              <w:bottom w:val="single" w:sz="34" w:space="0" w:color="FFFFFF"/>
            </w:tcBorders>
            <w:shd w:val="clear" w:color="auto" w:fill="F4F6F8"/>
          </w:tcPr>
          <w:p>
            <w:pPr>
              <w:pStyle w:val="TableParagraph"/>
              <w:spacing w:before="79"/>
              <w:rPr>
                <w:sz w:val="18"/>
              </w:rPr>
            </w:pPr>
            <w:r>
              <w:rPr>
                <w:color w:val="1A1A2D"/>
                <w:sz w:val="18"/>
              </w:rPr>
              <w:t>Consejería de Educación; AEAT; Seguridad Social; órganos de supervisión fundacional.</w:t>
            </w:r>
          </w:p>
        </w:tc>
      </w:tr>
      <w:tr>
        <w:trPr>
          <w:trHeight w:val="712" w:hRule="atLeast"/>
        </w:trPr>
        <w:tc>
          <w:tcPr>
            <w:tcW w:w="2802" w:type="dxa"/>
            <w:shd w:val="clear" w:color="auto" w:fill="C7DCEF"/>
          </w:tcPr>
          <w:p>
            <w:pPr>
              <w:pStyle w:val="TableParagraph"/>
              <w:spacing w:before="131"/>
              <w:ind w:left="132"/>
              <w:rPr>
                <w:b/>
                <w:sz w:val="16"/>
              </w:rPr>
            </w:pPr>
            <w:r>
              <w:rPr>
                <w:b/>
                <w:color w:val="1A3556"/>
                <w:sz w:val="16"/>
              </w:rPr>
              <w:t>Plazo de conservación</w:t>
            </w:r>
          </w:p>
        </w:tc>
        <w:tc>
          <w:tcPr>
            <w:tcW w:w="6560" w:type="dxa"/>
            <w:tcBorders>
              <w:top w:val="single" w:sz="34" w:space="0" w:color="FFFFFF"/>
            </w:tcBorders>
          </w:tcPr>
          <w:p>
            <w:pPr>
              <w:pStyle w:val="TableParagraph"/>
              <w:spacing w:line="254" w:lineRule="auto" w:before="2"/>
              <w:rPr>
                <w:sz w:val="18"/>
              </w:rPr>
            </w:pPr>
            <w:r>
              <w:rPr>
                <w:color w:val="1A1A2D"/>
                <w:sz w:val="18"/>
              </w:rPr>
              <w:t>Expediente de personal: conservación indefinida. Contratos con proveedores: 6 años. Datos de alumnos: según A-03.</w:t>
            </w:r>
          </w:p>
        </w:tc>
      </w:tr>
      <w:tr>
        <w:trPr>
          <w:trHeight w:val="553" w:hRule="atLeast"/>
        </w:trPr>
        <w:tc>
          <w:tcPr>
            <w:tcW w:w="2802" w:type="dxa"/>
            <w:shd w:val="clear" w:color="auto" w:fill="C7DCEF"/>
          </w:tcPr>
          <w:p>
            <w:pPr>
              <w:pStyle w:val="TableParagraph"/>
              <w:spacing w:before="91"/>
              <w:ind w:left="132"/>
              <w:rPr>
                <w:b/>
                <w:sz w:val="16"/>
              </w:rPr>
            </w:pPr>
            <w:r>
              <w:rPr>
                <w:b/>
                <w:color w:val="1A3556"/>
                <w:sz w:val="16"/>
              </w:rPr>
              <w:t>Transferencias internacionales</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No se realizan transferencias internacionales de datos personales.</w:t>
            </w:r>
          </w:p>
        </w:tc>
      </w:tr>
      <w:tr>
        <w:trPr>
          <w:trHeight w:val="712" w:hRule="atLeast"/>
        </w:trPr>
        <w:tc>
          <w:tcPr>
            <w:tcW w:w="2802" w:type="dxa"/>
            <w:shd w:val="clear" w:color="auto" w:fill="C7DCEF"/>
          </w:tcPr>
          <w:p>
            <w:pPr>
              <w:pStyle w:val="TableParagraph"/>
              <w:spacing w:line="256" w:lineRule="auto" w:before="26"/>
              <w:ind w:left="132" w:right="267"/>
              <w:rPr>
                <w:b/>
                <w:sz w:val="16"/>
              </w:rPr>
            </w:pPr>
            <w:r>
              <w:rPr>
                <w:b/>
                <w:color w:val="1A3556"/>
                <w:sz w:val="16"/>
              </w:rPr>
              <w:t>Medidas técnicas y organizativas de seguridad</w:t>
            </w:r>
          </w:p>
        </w:tc>
        <w:tc>
          <w:tcPr>
            <w:tcW w:w="6560" w:type="dxa"/>
            <w:tcBorders>
              <w:top w:val="single" w:sz="34" w:space="0" w:color="FFFFFF"/>
            </w:tcBorders>
          </w:tcPr>
          <w:p>
            <w:pPr>
              <w:pStyle w:val="TableParagraph"/>
              <w:spacing w:line="256" w:lineRule="auto"/>
              <w:rPr>
                <w:sz w:val="18"/>
              </w:rPr>
            </w:pPr>
            <w:r>
              <w:rPr>
                <w:color w:val="1A1A2D"/>
                <w:sz w:val="18"/>
              </w:rPr>
              <w:t>Control de acceso por roles; custodia física de documentación; medidas ENS RD 311/2022.</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Encargados del tratamiento</w:t>
            </w:r>
          </w:p>
        </w:tc>
        <w:tc>
          <w:tcPr>
            <w:tcW w:w="6560" w:type="dxa"/>
            <w:shd w:val="clear" w:color="auto" w:fill="F4F6F8"/>
          </w:tcPr>
          <w:p>
            <w:pPr>
              <w:pStyle w:val="TableParagraph"/>
              <w:spacing w:before="77"/>
              <w:rPr>
                <w:sz w:val="18"/>
              </w:rPr>
            </w:pPr>
            <w:r>
              <w:rPr>
                <w:color w:val="1A1A2D"/>
                <w:sz w:val="18"/>
              </w:rPr>
              <w:t>Proveedor de software de gestión del centro (si aplica).</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Nivel de riesgo / EIPD</w:t>
            </w:r>
          </w:p>
        </w:tc>
        <w:tc>
          <w:tcPr>
            <w:tcW w:w="6560" w:type="dxa"/>
            <w:shd w:val="clear" w:color="auto" w:fill="FFEDDD"/>
          </w:tcPr>
          <w:p>
            <w:pPr>
              <w:pStyle w:val="TableParagraph"/>
              <w:spacing w:before="77"/>
              <w:rPr>
                <w:sz w:val="18"/>
              </w:rPr>
            </w:pPr>
            <w:r>
              <w:rPr>
                <w:color w:val="1A1A2D"/>
                <w:sz w:val="18"/>
              </w:rPr>
              <w:t>ALTO – Datos de salud del personal; datos de menores.</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2"/>
        <w:rPr>
          <w:sz w:val="15"/>
        </w:rPr>
      </w:pPr>
      <w:r>
        <w:rPr/>
        <w:pict>
          <v:shape style="position:absolute;margin-left:55.200001pt;margin-top:10.4635pt;width:513.25pt;height:14.45pt;mso-position-horizontal-relative:page;mso-position-vertical-relative:paragraph;z-index:-251643904;mso-wrap-distance-left:0;mso-wrap-distance-right:0" type="#_x0000_t202" filled="true" fillcolor="#f4f6f8" stroked="false">
            <v:textbox inset="0,0,0,0">
              <w:txbxContent>
                <w:p>
                  <w:pPr>
                    <w:pStyle w:val="BodyText"/>
                    <w:ind w:left="129"/>
                  </w:pPr>
                  <w:r>
                    <w:rPr>
                      <w:color w:val="1A3556"/>
                    </w:rPr>
                    <w:t>A-05 – Actividades y gestión de usuarios – Centro de Día para Personas Mayores (Marzagán)</w:t>
                  </w:r>
                </w:p>
              </w:txbxContent>
            </v:textbox>
            <v:fill type="solid"/>
            <w10:wrap type="topAndBottom"/>
          </v:shape>
        </w:pict>
      </w:r>
    </w:p>
    <w:p>
      <w:pPr>
        <w:spacing w:line="240" w:lineRule="auto" w:before="3" w:after="0"/>
        <w:rPr>
          <w:sz w:val="5"/>
        </w:rPr>
      </w:pPr>
    </w:p>
    <w:tbl>
      <w:tblPr>
        <w:tblW w:w="0" w:type="auto"/>
        <w:jc w:val="left"/>
        <w:tblInd w:w="79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554" w:hRule="atLeast"/>
        </w:trPr>
        <w:tc>
          <w:tcPr>
            <w:tcW w:w="2802" w:type="dxa"/>
            <w:shd w:val="clear" w:color="auto" w:fill="C7DCEF"/>
          </w:tcPr>
          <w:p>
            <w:pPr>
              <w:pStyle w:val="TableParagraph"/>
              <w:spacing w:before="91"/>
              <w:ind w:left="132"/>
              <w:rPr>
                <w:b/>
                <w:sz w:val="16"/>
              </w:rPr>
            </w:pPr>
            <w:r>
              <w:rPr>
                <w:b/>
                <w:color w:val="1A3556"/>
                <w:sz w:val="16"/>
              </w:rPr>
              <w:t>Código</w:t>
            </w:r>
          </w:p>
        </w:tc>
        <w:tc>
          <w:tcPr>
            <w:tcW w:w="6560" w:type="dxa"/>
          </w:tcPr>
          <w:p>
            <w:pPr>
              <w:pStyle w:val="TableParagraph"/>
              <w:spacing w:before="79"/>
              <w:rPr>
                <w:sz w:val="18"/>
              </w:rPr>
            </w:pPr>
            <w:r>
              <w:rPr>
                <w:color w:val="1A1A2D"/>
                <w:sz w:val="18"/>
              </w:rPr>
              <w:t>A-05</w:t>
            </w:r>
          </w:p>
        </w:tc>
      </w:tr>
      <w:tr>
        <w:trPr>
          <w:trHeight w:val="553" w:hRule="atLeast"/>
        </w:trPr>
        <w:tc>
          <w:tcPr>
            <w:tcW w:w="2802" w:type="dxa"/>
            <w:shd w:val="clear" w:color="auto" w:fill="C7DCEF"/>
          </w:tcPr>
          <w:p>
            <w:pPr>
              <w:pStyle w:val="TableParagraph"/>
              <w:spacing w:before="91"/>
              <w:ind w:left="132"/>
              <w:rPr>
                <w:b/>
                <w:sz w:val="16"/>
              </w:rPr>
            </w:pPr>
            <w:r>
              <w:rPr>
                <w:b/>
                <w:color w:val="1A3556"/>
                <w:sz w:val="16"/>
              </w:rPr>
              <w:t>Nombre del tratamiento</w:t>
            </w:r>
          </w:p>
        </w:tc>
        <w:tc>
          <w:tcPr>
            <w:tcW w:w="6560" w:type="dxa"/>
            <w:tcBorders>
              <w:bottom w:val="single" w:sz="34" w:space="0" w:color="FFFFFF"/>
            </w:tcBorders>
            <w:shd w:val="clear" w:color="auto" w:fill="F4F6F8"/>
          </w:tcPr>
          <w:p>
            <w:pPr>
              <w:pStyle w:val="TableParagraph"/>
              <w:spacing w:before="79"/>
              <w:rPr>
                <w:sz w:val="18"/>
              </w:rPr>
            </w:pPr>
            <w:r>
              <w:rPr>
                <w:color w:val="1A1A2D"/>
                <w:sz w:val="18"/>
              </w:rPr>
              <w:t>Actividades y gestión de usuarios – Centro de Día para Personas Mayores (Marzagán)</w:t>
            </w:r>
          </w:p>
        </w:tc>
      </w:tr>
      <w:tr>
        <w:trPr>
          <w:trHeight w:val="474" w:hRule="atLeast"/>
        </w:trPr>
        <w:tc>
          <w:tcPr>
            <w:tcW w:w="2802" w:type="dxa"/>
            <w:shd w:val="clear" w:color="auto" w:fill="C7DCEF"/>
          </w:tcPr>
          <w:p>
            <w:pPr>
              <w:pStyle w:val="TableParagraph"/>
              <w:spacing w:before="11"/>
              <w:ind w:left="132"/>
              <w:rPr>
                <w:b/>
                <w:sz w:val="16"/>
              </w:rPr>
            </w:pPr>
            <w:r>
              <w:rPr>
                <w:b/>
                <w:color w:val="1A3556"/>
                <w:sz w:val="16"/>
              </w:rPr>
              <w:t>Rol de FUCAS</w:t>
            </w:r>
          </w:p>
        </w:tc>
        <w:tc>
          <w:tcPr>
            <w:tcW w:w="6560" w:type="dxa"/>
            <w:tcBorders>
              <w:top w:val="single" w:sz="34" w:space="0" w:color="FFFFFF"/>
            </w:tcBorders>
          </w:tcPr>
          <w:p>
            <w:pPr>
              <w:pStyle w:val="TableParagraph"/>
              <w:spacing w:line="217" w:lineRule="exact"/>
              <w:rPr>
                <w:sz w:val="18"/>
              </w:rPr>
            </w:pPr>
            <w:r>
              <w:rPr>
                <w:color w:val="1A1A2D"/>
                <w:sz w:val="18"/>
              </w:rPr>
              <w:t>ENCARGADA (medio propio del Gobierno de Canarias)</w:t>
            </w:r>
          </w:p>
        </w:tc>
      </w:tr>
    </w:tbl>
    <w:p>
      <w:pPr>
        <w:spacing w:line="240" w:lineRule="auto" w:before="0"/>
        <w:rPr>
          <w:sz w:val="20"/>
        </w:rPr>
      </w:pPr>
    </w:p>
    <w:p>
      <w:pPr>
        <w:spacing w:line="240" w:lineRule="auto" w:before="4"/>
        <w:rPr>
          <w:sz w:val="21"/>
        </w:rPr>
      </w:pPr>
    </w:p>
    <w:p>
      <w:pPr>
        <w:spacing w:before="56"/>
        <w:ind w:left="647" w:right="0" w:firstLine="0"/>
        <w:jc w:val="center"/>
        <w:rPr>
          <w:sz w:val="22"/>
        </w:rPr>
      </w:pPr>
      <w:r>
        <w:rPr>
          <w:color w:val="4471C4"/>
          <w:w w:val="100"/>
          <w:sz w:val="22"/>
        </w:rPr>
        <w:t>9</w:t>
      </w:r>
    </w:p>
    <w:p>
      <w:pPr>
        <w:spacing w:after="0"/>
        <w:jc w:val="center"/>
        <w:rPr>
          <w:sz w:val="22"/>
        </w:rPr>
        <w:sectPr>
          <w:pgSz w:w="11910" w:h="16840"/>
          <w:pgMar w:top="1580" w:bottom="280" w:left="340" w:right="420"/>
        </w:sectPr>
      </w:pPr>
    </w:p>
    <w:p>
      <w:pPr>
        <w:spacing w:line="240" w:lineRule="auto" w:before="0"/>
        <w:rPr>
          <w:sz w:val="20"/>
        </w:rPr>
      </w:pPr>
      <w:r>
        <w:rPr/>
        <w:pict>
          <v:group style="position:absolute;margin-left:.000009pt;margin-top:36.832428pt;width:559.9pt;height:765.7pt;mso-position-horizontal-relative:page;mso-position-vertical-relative:page;z-index:-254807040" coordorigin="0,737" coordsize="11198,15314">
            <v:shape style="position:absolute;left:0;top:736;width:11198;height:15314" type="#_x0000_t75" stroked="false">
              <v:imagedata r:id="rId5" o:title=""/>
            </v:shape>
            <v:line style="position:absolute" from="1085,12597" to="1085,12887" stroked="true" strokeweight="1.92pt" strokecolor="#1a3556">
              <v:stroke dashstyle="solid"/>
            </v:line>
            <w10:wrap type="none"/>
          </v:group>
        </w:pict>
      </w:r>
    </w:p>
    <w:p>
      <w:pPr>
        <w:spacing w:line="240" w:lineRule="auto" w:before="0"/>
        <w:rPr>
          <w:sz w:val="20"/>
        </w:rPr>
      </w:pPr>
    </w:p>
    <w:p>
      <w:pPr>
        <w:spacing w:line="240" w:lineRule="auto" w:before="10" w:after="1"/>
        <w:rPr>
          <w:sz w:val="14"/>
        </w:rPr>
      </w:pPr>
    </w:p>
    <w:tbl>
      <w:tblPr>
        <w:tblW w:w="0" w:type="auto"/>
        <w:jc w:val="left"/>
        <w:tblInd w:w="79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1264" w:hRule="atLeast"/>
        </w:trPr>
        <w:tc>
          <w:tcPr>
            <w:tcW w:w="2802" w:type="dxa"/>
            <w:shd w:val="clear" w:color="auto" w:fill="C7DCEF"/>
          </w:tcPr>
          <w:p>
            <w:pPr>
              <w:pStyle w:val="TableParagraph"/>
              <w:ind w:left="0"/>
              <w:rPr>
                <w:sz w:val="16"/>
              </w:rPr>
            </w:pPr>
          </w:p>
          <w:p>
            <w:pPr>
              <w:pStyle w:val="TableParagraph"/>
              <w:spacing w:before="6"/>
              <w:ind w:left="0"/>
              <w:rPr>
                <w:sz w:val="20"/>
              </w:rPr>
            </w:pPr>
          </w:p>
          <w:p>
            <w:pPr>
              <w:pStyle w:val="TableParagraph"/>
              <w:spacing w:before="1"/>
              <w:ind w:left="132"/>
              <w:rPr>
                <w:b/>
                <w:sz w:val="16"/>
              </w:rPr>
            </w:pPr>
            <w:r>
              <w:rPr>
                <w:b/>
                <w:color w:val="1A3556"/>
                <w:sz w:val="16"/>
              </w:rPr>
              <w:t>Finalidad del tratamiento</w:t>
            </w:r>
          </w:p>
        </w:tc>
        <w:tc>
          <w:tcPr>
            <w:tcW w:w="6560" w:type="dxa"/>
            <w:tcBorders>
              <w:bottom w:val="single" w:sz="34" w:space="0" w:color="FFFFFF"/>
            </w:tcBorders>
            <w:shd w:val="clear" w:color="auto" w:fill="F4F6F8"/>
          </w:tcPr>
          <w:p>
            <w:pPr>
              <w:pStyle w:val="TableParagraph"/>
              <w:spacing w:line="259" w:lineRule="auto" w:before="79"/>
              <w:ind w:right="271"/>
              <w:rPr>
                <w:sz w:val="18"/>
              </w:rPr>
            </w:pPr>
            <w:r>
              <w:rPr>
                <w:color w:val="1A1A2D"/>
                <w:sz w:val="18"/>
              </w:rPr>
              <w:t>Gestión de altas, bajas y actividades de las personas usuarias del Centro de Día para Personas Mayores de Marzagán en el marco del encargo de gestión de la Consejería de Bienestar Social: actividades de desarrollo ocupacional, juegos, relaciones intergeneracionales, cultura, informática, educación, salud y prevención.</w:t>
            </w:r>
          </w:p>
        </w:tc>
      </w:tr>
      <w:tr>
        <w:trPr>
          <w:trHeight w:val="949" w:hRule="atLeast"/>
        </w:trPr>
        <w:tc>
          <w:tcPr>
            <w:tcW w:w="2802" w:type="dxa"/>
            <w:shd w:val="clear" w:color="auto" w:fill="C7DCEF"/>
          </w:tcPr>
          <w:p>
            <w:pPr>
              <w:pStyle w:val="TableParagraph"/>
              <w:spacing w:before="5"/>
              <w:ind w:left="0"/>
              <w:rPr>
                <w:sz w:val="20"/>
              </w:rPr>
            </w:pPr>
          </w:p>
          <w:p>
            <w:pPr>
              <w:pStyle w:val="TableParagraph"/>
              <w:ind w:left="132"/>
              <w:rPr>
                <w:b/>
                <w:sz w:val="16"/>
              </w:rPr>
            </w:pPr>
            <w:r>
              <w:rPr>
                <w:b/>
                <w:color w:val="1A3556"/>
                <w:sz w:val="16"/>
              </w:rPr>
              <w:t>Base jurídica</w:t>
            </w:r>
          </w:p>
        </w:tc>
        <w:tc>
          <w:tcPr>
            <w:tcW w:w="6560" w:type="dxa"/>
            <w:tcBorders>
              <w:top w:val="single" w:sz="34" w:space="0" w:color="FFFFFF"/>
            </w:tcBorders>
          </w:tcPr>
          <w:p>
            <w:pPr>
              <w:pStyle w:val="TableParagraph"/>
              <w:spacing w:line="256" w:lineRule="auto" w:before="2"/>
              <w:ind w:right="219"/>
              <w:rPr>
                <w:sz w:val="18"/>
              </w:rPr>
            </w:pPr>
            <w:r>
              <w:rPr>
                <w:color w:val="1A1A2D"/>
                <w:sz w:val="18"/>
              </w:rPr>
              <w:t>Art. 6.1.c) RGPD – Obligación legal derivada del encargo de gestión; art. 9.2.b) RGPD. LAPAD; RD 67/2012; encargo de gestión de la Consejería de Bienestar Social, Igualdad, Juventud, Infancia y Familias.</w:t>
            </w:r>
          </w:p>
        </w:tc>
      </w:tr>
      <w:tr>
        <w:trPr>
          <w:trHeight w:val="1029" w:hRule="atLeast"/>
        </w:trPr>
        <w:tc>
          <w:tcPr>
            <w:tcW w:w="2802" w:type="dxa"/>
            <w:shd w:val="clear" w:color="auto" w:fill="C7DCEF"/>
          </w:tcPr>
          <w:p>
            <w:pPr>
              <w:pStyle w:val="TableParagraph"/>
              <w:ind w:left="0"/>
              <w:rPr>
                <w:sz w:val="16"/>
              </w:rPr>
            </w:pPr>
          </w:p>
          <w:p>
            <w:pPr>
              <w:pStyle w:val="TableParagraph"/>
              <w:spacing w:before="131"/>
              <w:ind w:left="132"/>
              <w:rPr>
                <w:b/>
                <w:sz w:val="16"/>
              </w:rPr>
            </w:pPr>
            <w:r>
              <w:rPr>
                <w:b/>
                <w:color w:val="1A3556"/>
                <w:sz w:val="16"/>
              </w:rPr>
              <w:t>Categorías de datos personales</w:t>
            </w:r>
          </w:p>
        </w:tc>
        <w:tc>
          <w:tcPr>
            <w:tcW w:w="6560" w:type="dxa"/>
            <w:tcBorders>
              <w:bottom w:val="single" w:sz="34" w:space="0" w:color="FFFFFF"/>
            </w:tcBorders>
            <w:shd w:val="clear" w:color="auto" w:fill="F4F6F8"/>
          </w:tcPr>
          <w:p>
            <w:pPr>
              <w:pStyle w:val="TableParagraph"/>
              <w:spacing w:line="259" w:lineRule="auto" w:before="79"/>
              <w:ind w:right="419"/>
              <w:jc w:val="both"/>
              <w:rPr>
                <w:sz w:val="18"/>
              </w:rPr>
            </w:pPr>
            <w:r>
              <w:rPr>
                <w:color w:val="1A1A2D"/>
                <w:sz w:val="18"/>
              </w:rPr>
              <w:t>CATEGORÍAS ESPECIALES: Datos de salud (justificante médico, informes de salud). Datos</w:t>
            </w:r>
            <w:r>
              <w:rPr>
                <w:color w:val="1A1A2D"/>
                <w:spacing w:val="-6"/>
                <w:sz w:val="18"/>
              </w:rPr>
              <w:t> </w:t>
            </w:r>
            <w:r>
              <w:rPr>
                <w:color w:val="1A1A2D"/>
                <w:sz w:val="18"/>
              </w:rPr>
              <w:t>ordinarios:</w:t>
            </w:r>
            <w:r>
              <w:rPr>
                <w:color w:val="1A1A2D"/>
                <w:spacing w:val="-5"/>
                <w:sz w:val="18"/>
              </w:rPr>
              <w:t> </w:t>
            </w:r>
            <w:r>
              <w:rPr>
                <w:color w:val="1A1A2D"/>
                <w:sz w:val="18"/>
              </w:rPr>
              <w:t>identificativos</w:t>
            </w:r>
            <w:r>
              <w:rPr>
                <w:color w:val="1A1A2D"/>
                <w:spacing w:val="-5"/>
                <w:sz w:val="18"/>
              </w:rPr>
              <w:t> </w:t>
            </w:r>
            <w:r>
              <w:rPr>
                <w:color w:val="1A1A2D"/>
                <w:sz w:val="18"/>
              </w:rPr>
              <w:t>(nombre,</w:t>
            </w:r>
            <w:r>
              <w:rPr>
                <w:color w:val="1A1A2D"/>
                <w:spacing w:val="-5"/>
                <w:sz w:val="18"/>
              </w:rPr>
              <w:t> </w:t>
            </w:r>
            <w:r>
              <w:rPr>
                <w:color w:val="1A1A2D"/>
                <w:sz w:val="18"/>
              </w:rPr>
              <w:t>DNI,</w:t>
            </w:r>
            <w:r>
              <w:rPr>
                <w:color w:val="1A1A2D"/>
                <w:spacing w:val="-5"/>
                <w:sz w:val="18"/>
              </w:rPr>
              <w:t> </w:t>
            </w:r>
            <w:r>
              <w:rPr>
                <w:color w:val="1A1A2D"/>
                <w:sz w:val="18"/>
              </w:rPr>
              <w:t>teléfono,</w:t>
            </w:r>
            <w:r>
              <w:rPr>
                <w:color w:val="1A1A2D"/>
                <w:spacing w:val="-5"/>
                <w:sz w:val="18"/>
              </w:rPr>
              <w:t> </w:t>
            </w:r>
            <w:r>
              <w:rPr>
                <w:color w:val="1A1A2D"/>
                <w:sz w:val="18"/>
              </w:rPr>
              <w:t>domicilio);</w:t>
            </w:r>
            <w:r>
              <w:rPr>
                <w:color w:val="1A1A2D"/>
                <w:spacing w:val="-4"/>
                <w:sz w:val="18"/>
              </w:rPr>
              <w:t> </w:t>
            </w:r>
            <w:r>
              <w:rPr>
                <w:color w:val="1A1A2D"/>
                <w:sz w:val="18"/>
              </w:rPr>
              <w:t>características personales</w:t>
            </w:r>
            <w:r>
              <w:rPr>
                <w:color w:val="1A1A2D"/>
                <w:spacing w:val="-2"/>
                <w:sz w:val="18"/>
              </w:rPr>
              <w:t> </w:t>
            </w:r>
            <w:r>
              <w:rPr>
                <w:color w:val="1A1A2D"/>
                <w:sz w:val="18"/>
              </w:rPr>
              <w:t>(edad).</w:t>
            </w:r>
          </w:p>
        </w:tc>
      </w:tr>
      <w:tr>
        <w:trPr>
          <w:trHeight w:val="472" w:hRule="atLeast"/>
        </w:trPr>
        <w:tc>
          <w:tcPr>
            <w:tcW w:w="2802" w:type="dxa"/>
            <w:shd w:val="clear" w:color="auto" w:fill="C7DCEF"/>
          </w:tcPr>
          <w:p>
            <w:pPr>
              <w:pStyle w:val="TableParagraph"/>
              <w:spacing w:before="9"/>
              <w:ind w:left="132"/>
              <w:rPr>
                <w:b/>
                <w:sz w:val="16"/>
              </w:rPr>
            </w:pPr>
            <w:r>
              <w:rPr>
                <w:b/>
                <w:color w:val="1A3556"/>
                <w:sz w:val="16"/>
              </w:rPr>
              <w:t>Colectivos de interesados</w:t>
            </w:r>
          </w:p>
        </w:tc>
        <w:tc>
          <w:tcPr>
            <w:tcW w:w="6560" w:type="dxa"/>
            <w:tcBorders>
              <w:top w:val="single" w:sz="34" w:space="0" w:color="FFFFFF"/>
            </w:tcBorders>
          </w:tcPr>
          <w:p>
            <w:pPr>
              <w:pStyle w:val="TableParagraph"/>
              <w:spacing w:line="217" w:lineRule="exact"/>
              <w:rPr>
                <w:sz w:val="18"/>
              </w:rPr>
            </w:pPr>
            <w:r>
              <w:rPr>
                <w:color w:val="1A1A2D"/>
                <w:sz w:val="18"/>
              </w:rPr>
              <w:t>Personas mayores usuarias del Centro de Día de Marzagán.</w:t>
            </w:r>
          </w:p>
        </w:tc>
      </w:tr>
      <w:tr>
        <w:trPr>
          <w:trHeight w:val="1739" w:hRule="atLeast"/>
        </w:trPr>
        <w:tc>
          <w:tcPr>
            <w:tcW w:w="2802" w:type="dxa"/>
            <w:shd w:val="clear" w:color="auto" w:fill="C7DCEF"/>
          </w:tcPr>
          <w:p>
            <w:pPr>
              <w:pStyle w:val="TableParagraph"/>
              <w:ind w:left="0"/>
              <w:rPr>
                <w:sz w:val="16"/>
              </w:rPr>
            </w:pPr>
          </w:p>
          <w:p>
            <w:pPr>
              <w:pStyle w:val="TableParagraph"/>
              <w:ind w:left="0"/>
              <w:rPr>
                <w:sz w:val="16"/>
              </w:rPr>
            </w:pPr>
          </w:p>
          <w:p>
            <w:pPr>
              <w:pStyle w:val="TableParagraph"/>
              <w:ind w:left="0"/>
              <w:rPr>
                <w:sz w:val="16"/>
              </w:rPr>
            </w:pPr>
          </w:p>
          <w:p>
            <w:pPr>
              <w:pStyle w:val="TableParagraph"/>
              <w:spacing w:before="98"/>
              <w:ind w:left="132"/>
              <w:rPr>
                <w:b/>
                <w:sz w:val="16"/>
              </w:rPr>
            </w:pPr>
            <w:r>
              <w:rPr>
                <w:b/>
                <w:color w:val="1A3556"/>
                <w:sz w:val="16"/>
              </w:rPr>
              <w:t>Destinatarios / Cesionarios</w:t>
            </w:r>
          </w:p>
        </w:tc>
        <w:tc>
          <w:tcPr>
            <w:tcW w:w="6560" w:type="dxa"/>
            <w:tcBorders>
              <w:bottom w:val="single" w:sz="34" w:space="0" w:color="FFFFFF"/>
            </w:tcBorders>
            <w:shd w:val="clear" w:color="auto" w:fill="F4F6F8"/>
          </w:tcPr>
          <w:p>
            <w:pPr>
              <w:pStyle w:val="TableParagraph"/>
              <w:spacing w:line="259" w:lineRule="auto" w:before="81"/>
              <w:ind w:right="189"/>
              <w:rPr>
                <w:sz w:val="18"/>
              </w:rPr>
            </w:pPr>
            <w:r>
              <w:rPr>
                <w:color w:val="1A1A2D"/>
                <w:sz w:val="18"/>
              </w:rPr>
              <w:t>Gobierno de Canarias – Dirección General de Derechos Sociales (aplicación informática de centro de día, responsable del tratamiento); Consejería de Educación del Gobierno de Canarias; centros colaboradores (Asociación Mojo de Caña, Hartford S.L., Centro de Adultos de Jinámar, Fundación Canaria IRYCHEN, Centro de Salud de Jinámar, Fundación Canaria Lidia García, Fundación Universitaria de Las Palmas,</w:t>
            </w:r>
          </w:p>
          <w:p>
            <w:pPr>
              <w:pStyle w:val="TableParagraph"/>
              <w:spacing w:line="216" w:lineRule="exact"/>
              <w:rPr>
                <w:sz w:val="18"/>
              </w:rPr>
            </w:pPr>
            <w:r>
              <w:rPr>
                <w:color w:val="1A1A2D"/>
                <w:sz w:val="18"/>
              </w:rPr>
              <w:t>C.P.E.I.P. La Higuerita, Centro de Enseñanza Nuestra Señora de las Nieves).</w:t>
            </w:r>
          </w:p>
        </w:tc>
      </w:tr>
      <w:tr>
        <w:trPr>
          <w:trHeight w:val="712" w:hRule="atLeast"/>
        </w:trPr>
        <w:tc>
          <w:tcPr>
            <w:tcW w:w="2802" w:type="dxa"/>
            <w:shd w:val="clear" w:color="auto" w:fill="C7DCEF"/>
          </w:tcPr>
          <w:p>
            <w:pPr>
              <w:pStyle w:val="TableParagraph"/>
              <w:spacing w:before="131"/>
              <w:ind w:left="132"/>
              <w:rPr>
                <w:b/>
                <w:sz w:val="16"/>
              </w:rPr>
            </w:pPr>
            <w:r>
              <w:rPr>
                <w:b/>
                <w:color w:val="1A3556"/>
                <w:sz w:val="16"/>
              </w:rPr>
              <w:t>Plazo de conservación</w:t>
            </w:r>
          </w:p>
        </w:tc>
        <w:tc>
          <w:tcPr>
            <w:tcW w:w="6560" w:type="dxa"/>
            <w:tcBorders>
              <w:top w:val="single" w:sz="34" w:space="0" w:color="FFFFFF"/>
            </w:tcBorders>
          </w:tcPr>
          <w:p>
            <w:pPr>
              <w:pStyle w:val="TableParagraph"/>
              <w:spacing w:line="254" w:lineRule="auto" w:before="2"/>
              <w:ind w:right="235"/>
              <w:rPr>
                <w:sz w:val="18"/>
              </w:rPr>
            </w:pPr>
            <w:r>
              <w:rPr>
                <w:color w:val="1A1A2D"/>
                <w:sz w:val="18"/>
              </w:rPr>
              <w:t>Mientras dure el encargo de gestión y la asistencia del usuario. Datos de salud: 10 años tras el alta. Restantes: 5 años.</w:t>
            </w:r>
          </w:p>
        </w:tc>
      </w:tr>
      <w:tr>
        <w:trPr>
          <w:trHeight w:val="553" w:hRule="atLeast"/>
        </w:trPr>
        <w:tc>
          <w:tcPr>
            <w:tcW w:w="2802" w:type="dxa"/>
            <w:shd w:val="clear" w:color="auto" w:fill="C7DCEF"/>
          </w:tcPr>
          <w:p>
            <w:pPr>
              <w:pStyle w:val="TableParagraph"/>
              <w:spacing w:before="91"/>
              <w:ind w:left="132"/>
              <w:rPr>
                <w:b/>
                <w:sz w:val="16"/>
              </w:rPr>
            </w:pPr>
            <w:r>
              <w:rPr>
                <w:b/>
                <w:color w:val="1A3556"/>
                <w:sz w:val="16"/>
              </w:rPr>
              <w:t>Transferencias internacionales</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No se realizan transferencias internacionales de datos personales.</w:t>
            </w:r>
          </w:p>
        </w:tc>
      </w:tr>
      <w:tr>
        <w:trPr>
          <w:trHeight w:val="950" w:hRule="atLeast"/>
        </w:trPr>
        <w:tc>
          <w:tcPr>
            <w:tcW w:w="2802" w:type="dxa"/>
            <w:shd w:val="clear" w:color="auto" w:fill="C7DCEF"/>
          </w:tcPr>
          <w:p>
            <w:pPr>
              <w:pStyle w:val="TableParagraph"/>
              <w:spacing w:before="11"/>
              <w:ind w:left="0"/>
              <w:rPr>
                <w:sz w:val="11"/>
              </w:rPr>
            </w:pPr>
          </w:p>
          <w:p>
            <w:pPr>
              <w:pStyle w:val="TableParagraph"/>
              <w:spacing w:line="256" w:lineRule="auto" w:before="1"/>
              <w:ind w:left="132" w:right="267"/>
              <w:rPr>
                <w:b/>
                <w:sz w:val="16"/>
              </w:rPr>
            </w:pPr>
            <w:r>
              <w:rPr>
                <w:b/>
                <w:color w:val="1A3556"/>
                <w:sz w:val="16"/>
              </w:rPr>
              <w:t>Medidas técnicas y organizativas de seguridad</w:t>
            </w:r>
          </w:p>
        </w:tc>
        <w:tc>
          <w:tcPr>
            <w:tcW w:w="6560" w:type="dxa"/>
            <w:tcBorders>
              <w:top w:val="single" w:sz="34" w:space="0" w:color="FFFFFF"/>
            </w:tcBorders>
          </w:tcPr>
          <w:p>
            <w:pPr>
              <w:pStyle w:val="TableParagraph"/>
              <w:spacing w:line="259" w:lineRule="auto"/>
              <w:ind w:right="348"/>
              <w:rPr>
                <w:sz w:val="18"/>
              </w:rPr>
            </w:pPr>
            <w:r>
              <w:rPr>
                <w:color w:val="1A1A2D"/>
                <w:sz w:val="18"/>
              </w:rPr>
              <w:t>FUCAS actúa como encargada; aplica medidas del sistema de gestión propio. Social Good S.L. (encargado informático con contrato art. 28 RGPD); medidas ENS RD 311/2022.</w:t>
            </w:r>
          </w:p>
        </w:tc>
      </w:tr>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Encargados del tratamiento</w:t>
            </w:r>
          </w:p>
        </w:tc>
        <w:tc>
          <w:tcPr>
            <w:tcW w:w="6560" w:type="dxa"/>
            <w:shd w:val="clear" w:color="auto" w:fill="F4F6F8"/>
          </w:tcPr>
          <w:p>
            <w:pPr>
              <w:pStyle w:val="TableParagraph"/>
              <w:spacing w:line="256" w:lineRule="auto" w:before="79"/>
              <w:ind w:right="745"/>
              <w:rPr>
                <w:sz w:val="18"/>
              </w:rPr>
            </w:pPr>
            <w:r>
              <w:rPr>
                <w:color w:val="1A1A2D"/>
                <w:sz w:val="18"/>
              </w:rPr>
              <w:t>Social Good S.L. (gestión informática del centro como sub-encargada). Demás colaboradores citados en destinatarios actúan como cesionarios.</w:t>
            </w:r>
          </w:p>
        </w:tc>
      </w:tr>
      <w:tr>
        <w:trPr>
          <w:trHeight w:val="551" w:hRule="atLeast"/>
        </w:trPr>
        <w:tc>
          <w:tcPr>
            <w:tcW w:w="2802" w:type="dxa"/>
            <w:shd w:val="clear" w:color="auto" w:fill="C7DCEF"/>
          </w:tcPr>
          <w:p>
            <w:pPr>
              <w:pStyle w:val="TableParagraph"/>
              <w:spacing w:before="88"/>
              <w:ind w:left="132"/>
              <w:rPr>
                <w:b/>
                <w:sz w:val="16"/>
              </w:rPr>
            </w:pPr>
            <w:r>
              <w:rPr>
                <w:b/>
                <w:color w:val="1A3556"/>
                <w:sz w:val="16"/>
              </w:rPr>
              <w:t>Nivel de riesgo / EIPD</w:t>
            </w:r>
          </w:p>
        </w:tc>
        <w:tc>
          <w:tcPr>
            <w:tcW w:w="6560" w:type="dxa"/>
            <w:shd w:val="clear" w:color="auto" w:fill="FFEDDD"/>
          </w:tcPr>
          <w:p>
            <w:pPr>
              <w:pStyle w:val="TableParagraph"/>
              <w:spacing w:before="77"/>
              <w:rPr>
                <w:sz w:val="18"/>
              </w:rPr>
            </w:pPr>
            <w:r>
              <w:rPr>
                <w:color w:val="1A1A2D"/>
                <w:sz w:val="18"/>
              </w:rPr>
              <w:t>ALTO – Datos de salud de personas mayores.</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
        <w:rPr>
          <w:sz w:val="15"/>
        </w:rPr>
      </w:pPr>
      <w:r>
        <w:rPr/>
        <w:pict>
          <v:shape style="position:absolute;margin-left:55.200001pt;margin-top:10.418906pt;width:513.25pt;height:14.55pt;mso-position-horizontal-relative:page;mso-position-vertical-relative:paragraph;z-index:-251641856;mso-wrap-distance-left:0;mso-wrap-distance-right:0" type="#_x0000_t202" filled="true" fillcolor="#f4f6f8" stroked="false">
            <v:textbox inset="0,0,0,0">
              <w:txbxContent>
                <w:p>
                  <w:pPr>
                    <w:pStyle w:val="BodyText"/>
                    <w:spacing w:line="268" w:lineRule="exact"/>
                    <w:ind w:left="129"/>
                  </w:pPr>
                  <w:r>
                    <w:rPr>
                      <w:color w:val="1A3556"/>
                    </w:rPr>
                    <w:t>A-06 – Junta de coordinación – Centro de Día para Personas Mayores (Marzagán)</w:t>
                  </w:r>
                </w:p>
              </w:txbxContent>
            </v:textbox>
            <v:fill type="solid"/>
            <w10:wrap type="topAndBottom"/>
          </v:shape>
        </w:pict>
      </w:r>
    </w:p>
    <w:p>
      <w:pPr>
        <w:spacing w:line="240" w:lineRule="auto" w:before="3" w:after="0"/>
        <w:rPr>
          <w:sz w:val="5"/>
        </w:rPr>
      </w:pPr>
    </w:p>
    <w:tbl>
      <w:tblPr>
        <w:tblW w:w="0" w:type="auto"/>
        <w:jc w:val="left"/>
        <w:tblInd w:w="79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475" w:hRule="atLeast"/>
        </w:trPr>
        <w:tc>
          <w:tcPr>
            <w:tcW w:w="2802" w:type="dxa"/>
            <w:shd w:val="clear" w:color="auto" w:fill="C7DCEF"/>
          </w:tcPr>
          <w:p>
            <w:pPr>
              <w:pStyle w:val="TableParagraph"/>
              <w:spacing w:before="12"/>
              <w:ind w:left="132"/>
              <w:rPr>
                <w:b/>
                <w:sz w:val="16"/>
              </w:rPr>
            </w:pPr>
            <w:r>
              <w:rPr>
                <w:b/>
                <w:color w:val="1A3556"/>
                <w:sz w:val="16"/>
              </w:rPr>
              <w:t>Código</w:t>
            </w:r>
          </w:p>
        </w:tc>
        <w:tc>
          <w:tcPr>
            <w:tcW w:w="6560" w:type="dxa"/>
            <w:tcBorders>
              <w:top w:val="single" w:sz="34" w:space="0" w:color="FFFFFF"/>
            </w:tcBorders>
          </w:tcPr>
          <w:p>
            <w:pPr>
              <w:pStyle w:val="TableParagraph"/>
              <w:spacing w:line="218" w:lineRule="exact"/>
              <w:rPr>
                <w:sz w:val="18"/>
              </w:rPr>
            </w:pPr>
            <w:r>
              <w:rPr>
                <w:color w:val="1A1A2D"/>
                <w:sz w:val="18"/>
              </w:rPr>
              <w:t>A-06</w:t>
            </w:r>
          </w:p>
        </w:tc>
      </w:tr>
      <w:tr>
        <w:trPr>
          <w:trHeight w:val="553" w:hRule="atLeast"/>
        </w:trPr>
        <w:tc>
          <w:tcPr>
            <w:tcW w:w="2802" w:type="dxa"/>
            <w:shd w:val="clear" w:color="auto" w:fill="C7DCEF"/>
          </w:tcPr>
          <w:p>
            <w:pPr>
              <w:pStyle w:val="TableParagraph"/>
              <w:spacing w:before="91"/>
              <w:ind w:left="132"/>
              <w:rPr>
                <w:b/>
                <w:sz w:val="16"/>
              </w:rPr>
            </w:pPr>
            <w:r>
              <w:rPr>
                <w:b/>
                <w:color w:val="1A3556"/>
                <w:sz w:val="16"/>
              </w:rPr>
              <w:t>Nombre del tratamiento</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Junta de coordinación – Centro de Día para Personas Mayores (Marzagán)</w:t>
            </w:r>
          </w:p>
        </w:tc>
      </w:tr>
      <w:tr>
        <w:trPr>
          <w:trHeight w:val="474" w:hRule="atLeast"/>
        </w:trPr>
        <w:tc>
          <w:tcPr>
            <w:tcW w:w="2802" w:type="dxa"/>
            <w:shd w:val="clear" w:color="auto" w:fill="C7DCEF"/>
          </w:tcPr>
          <w:p>
            <w:pPr>
              <w:pStyle w:val="TableParagraph"/>
              <w:spacing w:before="11"/>
              <w:ind w:left="132"/>
              <w:rPr>
                <w:b/>
                <w:sz w:val="16"/>
              </w:rPr>
            </w:pPr>
            <w:r>
              <w:rPr>
                <w:b/>
                <w:color w:val="1A3556"/>
                <w:sz w:val="16"/>
              </w:rPr>
              <w:t>Rol de FUCAS</w:t>
            </w:r>
          </w:p>
        </w:tc>
        <w:tc>
          <w:tcPr>
            <w:tcW w:w="6560" w:type="dxa"/>
            <w:tcBorders>
              <w:top w:val="single" w:sz="34" w:space="0" w:color="FFFFFF"/>
            </w:tcBorders>
          </w:tcPr>
          <w:p>
            <w:pPr>
              <w:pStyle w:val="TableParagraph"/>
              <w:spacing w:line="217" w:lineRule="exact"/>
              <w:rPr>
                <w:sz w:val="18"/>
              </w:rPr>
            </w:pPr>
            <w:r>
              <w:rPr>
                <w:color w:val="1A1A2D"/>
                <w:sz w:val="18"/>
              </w:rPr>
              <w:t>ENCARGADA (medio propio del Gobierno de Canarias)</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7"/>
        <w:rPr>
          <w:sz w:val="17"/>
        </w:rPr>
      </w:pPr>
    </w:p>
    <w:p>
      <w:pPr>
        <w:spacing w:before="0"/>
        <w:ind w:left="906" w:right="261" w:firstLine="0"/>
        <w:jc w:val="center"/>
        <w:rPr>
          <w:sz w:val="22"/>
        </w:rPr>
      </w:pPr>
      <w:r>
        <w:rPr>
          <w:color w:val="4471C4"/>
          <w:sz w:val="22"/>
        </w:rPr>
        <w:t>10</w:t>
      </w:r>
    </w:p>
    <w:p>
      <w:pPr>
        <w:spacing w:after="0"/>
        <w:jc w:val="center"/>
        <w:rPr>
          <w:sz w:val="22"/>
        </w:rPr>
        <w:sectPr>
          <w:pgSz w:w="11910" w:h="16840"/>
          <w:pgMar w:top="1580" w:bottom="280" w:left="340" w:right="420"/>
        </w:sectPr>
      </w:pPr>
    </w:p>
    <w:p>
      <w:pPr>
        <w:spacing w:line="240" w:lineRule="auto" w:before="0"/>
        <w:rPr>
          <w:sz w:val="20"/>
        </w:rPr>
      </w:pPr>
      <w:r>
        <w:rPr/>
        <w:pict>
          <v:group style="position:absolute;margin-left:.000009pt;margin-top:36.832428pt;width:559.9pt;height:765.7pt;mso-position-horizontal-relative:page;mso-position-vertical-relative:page;z-index:-254804992" coordorigin="0,737" coordsize="11198,15314">
            <v:shape style="position:absolute;left:0;top:736;width:11198;height:15314" type="#_x0000_t75" stroked="false">
              <v:imagedata r:id="rId5" o:title=""/>
            </v:shape>
            <v:line style="position:absolute" from="1085,9988" to="1085,10278" stroked="true" strokeweight="1.92pt" strokecolor="#1a3556">
              <v:stroke dashstyle="solid"/>
            </v:line>
            <w10:wrap type="none"/>
          </v:group>
        </w:pict>
      </w:r>
    </w:p>
    <w:p>
      <w:pPr>
        <w:spacing w:line="240" w:lineRule="auto" w:before="0"/>
        <w:rPr>
          <w:sz w:val="20"/>
        </w:rPr>
      </w:pPr>
    </w:p>
    <w:p>
      <w:pPr>
        <w:spacing w:line="240" w:lineRule="auto" w:before="10" w:after="1"/>
        <w:rPr>
          <w:sz w:val="14"/>
        </w:rPr>
      </w:pPr>
    </w:p>
    <w:tbl>
      <w:tblPr>
        <w:tblW w:w="0" w:type="auto"/>
        <w:jc w:val="left"/>
        <w:tblInd w:w="79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1028" w:hRule="atLeast"/>
        </w:trPr>
        <w:tc>
          <w:tcPr>
            <w:tcW w:w="2802" w:type="dxa"/>
            <w:shd w:val="clear" w:color="auto" w:fill="C7DCEF"/>
          </w:tcPr>
          <w:p>
            <w:pPr>
              <w:pStyle w:val="TableParagraph"/>
              <w:ind w:left="0"/>
              <w:rPr>
                <w:sz w:val="16"/>
              </w:rPr>
            </w:pPr>
          </w:p>
          <w:p>
            <w:pPr>
              <w:pStyle w:val="TableParagraph"/>
              <w:spacing w:before="131"/>
              <w:ind w:left="132"/>
              <w:rPr>
                <w:b/>
                <w:sz w:val="16"/>
              </w:rPr>
            </w:pPr>
            <w:r>
              <w:rPr>
                <w:b/>
                <w:color w:val="1A3556"/>
                <w:sz w:val="16"/>
              </w:rPr>
              <w:t>Finalidad del tratamiento</w:t>
            </w:r>
          </w:p>
        </w:tc>
        <w:tc>
          <w:tcPr>
            <w:tcW w:w="6560" w:type="dxa"/>
            <w:tcBorders>
              <w:bottom w:val="single" w:sz="34" w:space="0" w:color="FFFFFF"/>
            </w:tcBorders>
            <w:shd w:val="clear" w:color="auto" w:fill="F4F6F8"/>
          </w:tcPr>
          <w:p>
            <w:pPr>
              <w:pStyle w:val="TableParagraph"/>
              <w:spacing w:line="259" w:lineRule="auto" w:before="79"/>
              <w:ind w:right="371"/>
              <w:jc w:val="both"/>
              <w:rPr>
                <w:sz w:val="18"/>
              </w:rPr>
            </w:pPr>
            <w:r>
              <w:rPr>
                <w:color w:val="1A1A2D"/>
                <w:sz w:val="18"/>
              </w:rPr>
              <w:t>Gestión y documentación de la representación de las distintas áreas de</w:t>
            </w:r>
            <w:r>
              <w:rPr>
                <w:color w:val="1A1A2D"/>
                <w:spacing w:val="-24"/>
                <w:sz w:val="18"/>
              </w:rPr>
              <w:t> </w:t>
            </w:r>
            <w:r>
              <w:rPr>
                <w:color w:val="1A1A2D"/>
                <w:sz w:val="18"/>
              </w:rPr>
              <w:t>actividades del Centro de Día de Marzagán: convocatoria, celebración y archivo de actas de las reuniones de</w:t>
            </w:r>
            <w:r>
              <w:rPr>
                <w:color w:val="1A1A2D"/>
                <w:spacing w:val="-3"/>
                <w:sz w:val="18"/>
              </w:rPr>
              <w:t> </w:t>
            </w:r>
            <w:r>
              <w:rPr>
                <w:color w:val="1A1A2D"/>
                <w:sz w:val="18"/>
              </w:rPr>
              <w:t>coordinación.</w:t>
            </w:r>
          </w:p>
        </w:tc>
      </w:tr>
      <w:tr>
        <w:trPr>
          <w:trHeight w:val="709" w:hRule="atLeast"/>
        </w:trPr>
        <w:tc>
          <w:tcPr>
            <w:tcW w:w="2802" w:type="dxa"/>
            <w:shd w:val="clear" w:color="auto" w:fill="C7DCEF"/>
          </w:tcPr>
          <w:p>
            <w:pPr>
              <w:pStyle w:val="TableParagraph"/>
              <w:spacing w:before="129"/>
              <w:ind w:left="132"/>
              <w:rPr>
                <w:b/>
                <w:sz w:val="16"/>
              </w:rPr>
            </w:pPr>
            <w:r>
              <w:rPr>
                <w:b/>
                <w:color w:val="1A3556"/>
                <w:sz w:val="16"/>
              </w:rPr>
              <w:t>Base jurídica</w:t>
            </w:r>
          </w:p>
        </w:tc>
        <w:tc>
          <w:tcPr>
            <w:tcW w:w="6560" w:type="dxa"/>
            <w:tcBorders>
              <w:top w:val="single" w:sz="34" w:space="0" w:color="FFFFFF"/>
            </w:tcBorders>
          </w:tcPr>
          <w:p>
            <w:pPr>
              <w:pStyle w:val="TableParagraph"/>
              <w:spacing w:line="256" w:lineRule="auto"/>
              <w:ind w:right="527"/>
              <w:rPr>
                <w:sz w:val="18"/>
              </w:rPr>
            </w:pPr>
            <w:r>
              <w:rPr>
                <w:color w:val="1A1A2D"/>
                <w:sz w:val="18"/>
              </w:rPr>
              <w:t>Art. 6.1.c) RGPD – Obligación legal derivada del encargo de gestión. RD 67/2012; encargo de gestión de la Consejería de Bienestar Social.</w:t>
            </w:r>
          </w:p>
        </w:tc>
      </w:tr>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Categorías de datos personales</w:t>
            </w:r>
          </w:p>
        </w:tc>
        <w:tc>
          <w:tcPr>
            <w:tcW w:w="6560" w:type="dxa"/>
            <w:shd w:val="clear" w:color="auto" w:fill="F4F6F8"/>
          </w:tcPr>
          <w:p>
            <w:pPr>
              <w:pStyle w:val="TableParagraph"/>
              <w:spacing w:line="254" w:lineRule="auto" w:before="81"/>
              <w:ind w:right="235"/>
              <w:rPr>
                <w:sz w:val="18"/>
              </w:rPr>
            </w:pPr>
            <w:r>
              <w:rPr>
                <w:color w:val="1A1A2D"/>
                <w:sz w:val="18"/>
              </w:rPr>
              <w:t>Datos identificativos de los representantes de área (nombre y apellidos, DNI, dirección, tarjeta sanitaria); actas de asamblea.</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Colectivos de interesados</w:t>
            </w:r>
          </w:p>
        </w:tc>
        <w:tc>
          <w:tcPr>
            <w:tcW w:w="6560" w:type="dxa"/>
          </w:tcPr>
          <w:p>
            <w:pPr>
              <w:pStyle w:val="TableParagraph"/>
              <w:spacing w:before="77"/>
              <w:rPr>
                <w:sz w:val="18"/>
              </w:rPr>
            </w:pPr>
            <w:r>
              <w:rPr>
                <w:color w:val="1A1A2D"/>
                <w:sz w:val="18"/>
              </w:rPr>
              <w:t>Representantes de las distintas áreas de actividades del centro.</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Destinatarios / Cesionarios</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Gobierno de Canarias – Consejería de Bienestar Social (responsable del tratamiento).</w:t>
            </w:r>
          </w:p>
        </w:tc>
      </w:tr>
      <w:tr>
        <w:trPr>
          <w:trHeight w:val="474" w:hRule="atLeast"/>
        </w:trPr>
        <w:tc>
          <w:tcPr>
            <w:tcW w:w="2802" w:type="dxa"/>
            <w:shd w:val="clear" w:color="auto" w:fill="C7DCEF"/>
          </w:tcPr>
          <w:p>
            <w:pPr>
              <w:pStyle w:val="TableParagraph"/>
              <w:spacing w:before="11"/>
              <w:ind w:left="132"/>
              <w:rPr>
                <w:b/>
                <w:sz w:val="16"/>
              </w:rPr>
            </w:pPr>
            <w:r>
              <w:rPr>
                <w:b/>
                <w:color w:val="1A3556"/>
                <w:sz w:val="16"/>
              </w:rPr>
              <w:t>Plazo de conservación</w:t>
            </w:r>
          </w:p>
        </w:tc>
        <w:tc>
          <w:tcPr>
            <w:tcW w:w="6560" w:type="dxa"/>
            <w:tcBorders>
              <w:top w:val="single" w:sz="34" w:space="0" w:color="FFFFFF"/>
            </w:tcBorders>
          </w:tcPr>
          <w:p>
            <w:pPr>
              <w:pStyle w:val="TableParagraph"/>
              <w:spacing w:line="217" w:lineRule="exact"/>
              <w:rPr>
                <w:sz w:val="18"/>
              </w:rPr>
            </w:pPr>
            <w:r>
              <w:rPr>
                <w:color w:val="1A1A2D"/>
                <w:sz w:val="18"/>
              </w:rPr>
              <w:t>Actas: conservación indefinida como documentación institucional. Restantes: 5 años.</w:t>
            </w:r>
          </w:p>
        </w:tc>
      </w:tr>
      <w:tr>
        <w:trPr>
          <w:trHeight w:val="553" w:hRule="atLeast"/>
        </w:trPr>
        <w:tc>
          <w:tcPr>
            <w:tcW w:w="2802" w:type="dxa"/>
            <w:shd w:val="clear" w:color="auto" w:fill="C7DCEF"/>
          </w:tcPr>
          <w:p>
            <w:pPr>
              <w:pStyle w:val="TableParagraph"/>
              <w:spacing w:before="91"/>
              <w:ind w:left="132"/>
              <w:rPr>
                <w:b/>
                <w:sz w:val="16"/>
              </w:rPr>
            </w:pPr>
            <w:r>
              <w:rPr>
                <w:b/>
                <w:color w:val="1A3556"/>
                <w:sz w:val="16"/>
              </w:rPr>
              <w:t>Transferencias internacionales</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No se realizan transferencias internacionales de datos personales.</w:t>
            </w:r>
          </w:p>
        </w:tc>
      </w:tr>
      <w:tr>
        <w:trPr>
          <w:trHeight w:val="712" w:hRule="atLeast"/>
        </w:trPr>
        <w:tc>
          <w:tcPr>
            <w:tcW w:w="2802" w:type="dxa"/>
            <w:shd w:val="clear" w:color="auto" w:fill="C7DCEF"/>
          </w:tcPr>
          <w:p>
            <w:pPr>
              <w:pStyle w:val="TableParagraph"/>
              <w:spacing w:line="256" w:lineRule="auto" w:before="26"/>
              <w:ind w:left="132" w:right="267"/>
              <w:rPr>
                <w:b/>
                <w:sz w:val="16"/>
              </w:rPr>
            </w:pPr>
            <w:r>
              <w:rPr>
                <w:b/>
                <w:color w:val="1A3556"/>
                <w:sz w:val="16"/>
              </w:rPr>
              <w:t>Medidas técnicas y organizativas de seguridad</w:t>
            </w:r>
          </w:p>
        </w:tc>
        <w:tc>
          <w:tcPr>
            <w:tcW w:w="6560" w:type="dxa"/>
            <w:tcBorders>
              <w:top w:val="single" w:sz="34" w:space="0" w:color="FFFFFF"/>
            </w:tcBorders>
          </w:tcPr>
          <w:p>
            <w:pPr>
              <w:pStyle w:val="TableParagraph"/>
              <w:spacing w:line="256" w:lineRule="auto"/>
              <w:rPr>
                <w:sz w:val="18"/>
              </w:rPr>
            </w:pPr>
            <w:r>
              <w:rPr>
                <w:color w:val="1A1A2D"/>
                <w:sz w:val="18"/>
              </w:rPr>
              <w:t>Custodia física y digital de actas; acceso restringido a la dirección del centro; medidas ENS RD 311/2022.</w:t>
            </w:r>
          </w:p>
        </w:tc>
      </w:tr>
      <w:tr>
        <w:trPr>
          <w:trHeight w:val="553" w:hRule="atLeast"/>
        </w:trPr>
        <w:tc>
          <w:tcPr>
            <w:tcW w:w="2802" w:type="dxa"/>
            <w:shd w:val="clear" w:color="auto" w:fill="C7DCEF"/>
          </w:tcPr>
          <w:p>
            <w:pPr>
              <w:pStyle w:val="TableParagraph"/>
              <w:spacing w:before="88"/>
              <w:ind w:left="132"/>
              <w:rPr>
                <w:b/>
                <w:sz w:val="16"/>
              </w:rPr>
            </w:pPr>
            <w:r>
              <w:rPr>
                <w:b/>
                <w:color w:val="1A3556"/>
                <w:sz w:val="16"/>
              </w:rPr>
              <w:t>Encargados del tratamiento</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No aplica.</w:t>
            </w:r>
          </w:p>
        </w:tc>
      </w:tr>
      <w:tr>
        <w:trPr>
          <w:trHeight w:val="474" w:hRule="atLeast"/>
        </w:trPr>
        <w:tc>
          <w:tcPr>
            <w:tcW w:w="2802" w:type="dxa"/>
            <w:shd w:val="clear" w:color="auto" w:fill="C7DCEF"/>
          </w:tcPr>
          <w:p>
            <w:pPr>
              <w:pStyle w:val="TableParagraph"/>
              <w:spacing w:before="9"/>
              <w:ind w:left="132"/>
              <w:rPr>
                <w:b/>
                <w:sz w:val="16"/>
              </w:rPr>
            </w:pPr>
            <w:r>
              <w:rPr>
                <w:b/>
                <w:color w:val="1A3556"/>
                <w:sz w:val="16"/>
              </w:rPr>
              <w:t>Nivel de riesgo / EIPD</w:t>
            </w:r>
          </w:p>
        </w:tc>
        <w:tc>
          <w:tcPr>
            <w:tcW w:w="6560" w:type="dxa"/>
            <w:tcBorders>
              <w:top w:val="single" w:sz="34" w:space="0" w:color="FFFFFF"/>
            </w:tcBorders>
          </w:tcPr>
          <w:p>
            <w:pPr>
              <w:pStyle w:val="TableParagraph"/>
              <w:spacing w:line="217" w:lineRule="exact"/>
              <w:rPr>
                <w:sz w:val="18"/>
              </w:rPr>
            </w:pPr>
            <w:r>
              <w:rPr>
                <w:color w:val="1A1A2D"/>
                <w:sz w:val="18"/>
              </w:rPr>
              <w:t>BAJO – Datos identificativos ordinarios.</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1"/>
        <w:rPr>
          <w:sz w:val="14"/>
        </w:rPr>
      </w:pPr>
      <w:r>
        <w:rPr/>
        <w:pict>
          <v:shape style="position:absolute;margin-left:55.200001pt;margin-top:10.318906pt;width:513.25pt;height:14.55pt;mso-position-horizontal-relative:page;mso-position-vertical-relative:paragraph;z-index:-251639808;mso-wrap-distance-left:0;mso-wrap-distance-right:0" type="#_x0000_t202" filled="true" fillcolor="#f4f6f8" stroked="false">
            <v:textbox inset="0,0,0,0">
              <w:txbxContent>
                <w:p>
                  <w:pPr>
                    <w:pStyle w:val="BodyText"/>
                    <w:spacing w:line="268" w:lineRule="exact"/>
                    <w:ind w:left="129"/>
                  </w:pPr>
                  <w:r>
                    <w:rPr>
                      <w:color w:val="1A3556"/>
                    </w:rPr>
                    <w:t>A-07 – Dirección y administración de personal – Centro de Día para Personas Mayores de Marzagán</w:t>
                  </w:r>
                </w:p>
              </w:txbxContent>
            </v:textbox>
            <v:fill type="solid"/>
            <w10:wrap type="topAndBottom"/>
          </v:shape>
        </w:pict>
      </w:r>
    </w:p>
    <w:p>
      <w:pPr>
        <w:spacing w:line="240" w:lineRule="auto" w:before="3" w:after="0"/>
        <w:rPr>
          <w:sz w:val="5"/>
        </w:rPr>
      </w:pPr>
    </w:p>
    <w:tbl>
      <w:tblPr>
        <w:tblW w:w="0" w:type="auto"/>
        <w:jc w:val="left"/>
        <w:tblInd w:w="79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474" w:hRule="atLeast"/>
        </w:trPr>
        <w:tc>
          <w:tcPr>
            <w:tcW w:w="2802" w:type="dxa"/>
            <w:shd w:val="clear" w:color="auto" w:fill="C7DCEF"/>
          </w:tcPr>
          <w:p>
            <w:pPr>
              <w:pStyle w:val="TableParagraph"/>
              <w:spacing w:before="11"/>
              <w:ind w:left="132"/>
              <w:rPr>
                <w:b/>
                <w:sz w:val="16"/>
              </w:rPr>
            </w:pPr>
            <w:r>
              <w:rPr>
                <w:b/>
                <w:color w:val="1A3556"/>
                <w:sz w:val="16"/>
              </w:rPr>
              <w:t>Código</w:t>
            </w:r>
          </w:p>
        </w:tc>
        <w:tc>
          <w:tcPr>
            <w:tcW w:w="6560" w:type="dxa"/>
            <w:tcBorders>
              <w:top w:val="single" w:sz="34" w:space="0" w:color="FFFFFF"/>
            </w:tcBorders>
          </w:tcPr>
          <w:p>
            <w:pPr>
              <w:pStyle w:val="TableParagraph"/>
              <w:spacing w:line="217" w:lineRule="exact"/>
              <w:rPr>
                <w:sz w:val="18"/>
              </w:rPr>
            </w:pPr>
            <w:r>
              <w:rPr>
                <w:color w:val="1A1A2D"/>
                <w:sz w:val="18"/>
              </w:rPr>
              <w:t>A-07</w:t>
            </w:r>
          </w:p>
        </w:tc>
      </w:tr>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Nombre del tratamiento</w:t>
            </w:r>
          </w:p>
        </w:tc>
        <w:tc>
          <w:tcPr>
            <w:tcW w:w="6560" w:type="dxa"/>
            <w:shd w:val="clear" w:color="auto" w:fill="F4F6F8"/>
          </w:tcPr>
          <w:p>
            <w:pPr>
              <w:pStyle w:val="TableParagraph"/>
              <w:spacing w:line="256" w:lineRule="auto" w:before="79"/>
              <w:ind w:right="414"/>
              <w:rPr>
                <w:sz w:val="18"/>
              </w:rPr>
            </w:pPr>
            <w:r>
              <w:rPr>
                <w:color w:val="1A1A2D"/>
                <w:sz w:val="18"/>
              </w:rPr>
              <w:t>Dirección y administración de personal – Centro de Día para Personas Mayores de Marzagán</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Rol de FUCAS</w:t>
            </w:r>
          </w:p>
        </w:tc>
        <w:tc>
          <w:tcPr>
            <w:tcW w:w="6560" w:type="dxa"/>
          </w:tcPr>
          <w:p>
            <w:pPr>
              <w:pStyle w:val="TableParagraph"/>
              <w:spacing w:before="77"/>
              <w:rPr>
                <w:sz w:val="18"/>
              </w:rPr>
            </w:pPr>
            <w:r>
              <w:rPr>
                <w:color w:val="1A1A2D"/>
                <w:sz w:val="18"/>
              </w:rPr>
              <w:t>ENCARGADA (medio propio del Gobierno de Canarias)</w:t>
            </w:r>
          </w:p>
        </w:tc>
      </w:tr>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Finalidad del tratamiento</w:t>
            </w:r>
          </w:p>
        </w:tc>
        <w:tc>
          <w:tcPr>
            <w:tcW w:w="6560" w:type="dxa"/>
            <w:tcBorders>
              <w:bottom w:val="single" w:sz="34" w:space="0" w:color="FFFFFF"/>
            </w:tcBorders>
            <w:shd w:val="clear" w:color="auto" w:fill="F4F6F8"/>
          </w:tcPr>
          <w:p>
            <w:pPr>
              <w:pStyle w:val="TableParagraph"/>
              <w:spacing w:line="256" w:lineRule="auto" w:before="79"/>
              <w:rPr>
                <w:sz w:val="18"/>
              </w:rPr>
            </w:pPr>
            <w:r>
              <w:rPr>
                <w:color w:val="1A1A2D"/>
                <w:sz w:val="18"/>
              </w:rPr>
              <w:t>Gestión y administración del personal del Centro de Día de Marzagán: altas y bajas de personal, documentación laboral, coordinación con los Servicios Generales de FUCAS.</w:t>
            </w:r>
          </w:p>
        </w:tc>
      </w:tr>
      <w:tr>
        <w:trPr>
          <w:trHeight w:val="710" w:hRule="atLeast"/>
        </w:trPr>
        <w:tc>
          <w:tcPr>
            <w:tcW w:w="2802" w:type="dxa"/>
            <w:shd w:val="clear" w:color="auto" w:fill="C7DCEF"/>
          </w:tcPr>
          <w:p>
            <w:pPr>
              <w:pStyle w:val="TableParagraph"/>
              <w:spacing w:before="129"/>
              <w:ind w:left="132"/>
              <w:rPr>
                <w:b/>
                <w:sz w:val="16"/>
              </w:rPr>
            </w:pPr>
            <w:r>
              <w:rPr>
                <w:b/>
                <w:color w:val="1A3556"/>
                <w:sz w:val="16"/>
              </w:rPr>
              <w:t>Base jurídica</w:t>
            </w:r>
          </w:p>
        </w:tc>
        <w:tc>
          <w:tcPr>
            <w:tcW w:w="6560" w:type="dxa"/>
            <w:tcBorders>
              <w:top w:val="single" w:sz="34" w:space="0" w:color="FFFFFF"/>
            </w:tcBorders>
          </w:tcPr>
          <w:p>
            <w:pPr>
              <w:pStyle w:val="TableParagraph"/>
              <w:spacing w:line="256" w:lineRule="auto"/>
              <w:ind w:right="169"/>
              <w:rPr>
                <w:sz w:val="18"/>
              </w:rPr>
            </w:pPr>
            <w:r>
              <w:rPr>
                <w:color w:val="1A1A2D"/>
                <w:sz w:val="18"/>
              </w:rPr>
              <w:t>Art. 6.1.b) y c) RGPD – Relación contractual y obligación legal. EBEP (RDLeg 5/2015); Estatuto de los Trabajadores; encargo de gestión de la Consejería de Bienestar Social.</w:t>
            </w:r>
          </w:p>
        </w:tc>
      </w:tr>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Categorías de datos personales</w:t>
            </w:r>
          </w:p>
        </w:tc>
        <w:tc>
          <w:tcPr>
            <w:tcW w:w="6560" w:type="dxa"/>
            <w:tcBorders>
              <w:bottom w:val="single" w:sz="34" w:space="0" w:color="FFFFFF"/>
            </w:tcBorders>
            <w:shd w:val="clear" w:color="auto" w:fill="F4F6F8"/>
          </w:tcPr>
          <w:p>
            <w:pPr>
              <w:pStyle w:val="TableParagraph"/>
              <w:spacing w:line="254" w:lineRule="auto" w:before="81"/>
              <w:ind w:right="343"/>
              <w:rPr>
                <w:sz w:val="18"/>
              </w:rPr>
            </w:pPr>
            <w:r>
              <w:rPr>
                <w:color w:val="1A1A2D"/>
                <w:sz w:val="18"/>
              </w:rPr>
              <w:t>Datos identificativos y de contacto del personal (nombre, DNI, teléfono, domicilio); datos académicos y profesionales (altas y bajas de personal, cualificaciones).</w:t>
            </w:r>
          </w:p>
        </w:tc>
      </w:tr>
      <w:tr>
        <w:trPr>
          <w:trHeight w:val="474" w:hRule="atLeast"/>
        </w:trPr>
        <w:tc>
          <w:tcPr>
            <w:tcW w:w="2802" w:type="dxa"/>
            <w:shd w:val="clear" w:color="auto" w:fill="C7DCEF"/>
          </w:tcPr>
          <w:p>
            <w:pPr>
              <w:pStyle w:val="TableParagraph"/>
              <w:spacing w:before="11"/>
              <w:ind w:left="132"/>
              <w:rPr>
                <w:b/>
                <w:sz w:val="16"/>
              </w:rPr>
            </w:pPr>
            <w:r>
              <w:rPr>
                <w:b/>
                <w:color w:val="1A3556"/>
                <w:sz w:val="16"/>
              </w:rPr>
              <w:t>Colectivos de interesados</w:t>
            </w:r>
          </w:p>
        </w:tc>
        <w:tc>
          <w:tcPr>
            <w:tcW w:w="6560" w:type="dxa"/>
            <w:tcBorders>
              <w:top w:val="single" w:sz="34" w:space="0" w:color="FFFFFF"/>
            </w:tcBorders>
          </w:tcPr>
          <w:p>
            <w:pPr>
              <w:pStyle w:val="TableParagraph"/>
              <w:spacing w:line="217" w:lineRule="exact"/>
              <w:rPr>
                <w:sz w:val="18"/>
              </w:rPr>
            </w:pPr>
            <w:r>
              <w:rPr>
                <w:color w:val="1A1A2D"/>
                <w:sz w:val="18"/>
              </w:rPr>
              <w:t>Personal del centro (trabajadores de FUCAS destinados al centro).</w:t>
            </w:r>
          </w:p>
        </w:tc>
      </w:tr>
    </w:tbl>
    <w:p>
      <w:pPr>
        <w:spacing w:line="240" w:lineRule="auto" w:before="10"/>
        <w:rPr>
          <w:sz w:val="25"/>
        </w:rPr>
      </w:pPr>
    </w:p>
    <w:p>
      <w:pPr>
        <w:spacing w:before="56"/>
        <w:ind w:left="906" w:right="261" w:firstLine="0"/>
        <w:jc w:val="center"/>
        <w:rPr>
          <w:sz w:val="22"/>
        </w:rPr>
      </w:pPr>
      <w:r>
        <w:rPr>
          <w:color w:val="4471C4"/>
          <w:sz w:val="22"/>
        </w:rPr>
        <w:t>11</w:t>
      </w:r>
    </w:p>
    <w:p>
      <w:pPr>
        <w:spacing w:after="0"/>
        <w:jc w:val="center"/>
        <w:rPr>
          <w:sz w:val="22"/>
        </w:rPr>
        <w:sectPr>
          <w:pgSz w:w="11910" w:h="16840"/>
          <w:pgMar w:top="1580" w:bottom="280" w:left="340" w:right="420"/>
        </w:sectPr>
      </w:pPr>
    </w:p>
    <w:p>
      <w:pPr>
        <w:spacing w:line="240" w:lineRule="auto" w:before="0"/>
        <w:rPr>
          <w:sz w:val="20"/>
        </w:rPr>
      </w:pPr>
      <w:r>
        <w:rPr/>
        <w:pict>
          <v:group style="position:absolute;margin-left:.000009pt;margin-top:36.832428pt;width:559.9pt;height:765.7pt;mso-position-horizontal-relative:page;mso-position-vertical-relative:page;z-index:-254802944" coordorigin="0,737" coordsize="11198,15314">
            <v:shape style="position:absolute;left:0;top:736;width:11198;height:15314" type="#_x0000_t75" stroked="false">
              <v:imagedata r:id="rId5" o:title=""/>
            </v:shape>
            <v:line style="position:absolute" from="1085,7278" to="1085,7568" stroked="true" strokeweight="1.92pt" strokecolor="#1a3556">
              <v:stroke dashstyle="solid"/>
            </v:line>
            <w10:wrap type="none"/>
          </v:group>
        </w:pict>
      </w:r>
    </w:p>
    <w:p>
      <w:pPr>
        <w:spacing w:line="240" w:lineRule="auto" w:before="0"/>
        <w:rPr>
          <w:sz w:val="20"/>
        </w:rPr>
      </w:pPr>
    </w:p>
    <w:p>
      <w:pPr>
        <w:spacing w:line="240" w:lineRule="auto" w:before="10" w:after="1"/>
        <w:rPr>
          <w:sz w:val="14"/>
        </w:rPr>
      </w:pPr>
    </w:p>
    <w:tbl>
      <w:tblPr>
        <w:tblW w:w="0" w:type="auto"/>
        <w:jc w:val="left"/>
        <w:tblInd w:w="79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Destinatarios / Cesionarios</w:t>
            </w:r>
          </w:p>
        </w:tc>
        <w:tc>
          <w:tcPr>
            <w:tcW w:w="6560" w:type="dxa"/>
            <w:tcBorders>
              <w:bottom w:val="single" w:sz="34" w:space="0" w:color="FFFFFF"/>
            </w:tcBorders>
            <w:shd w:val="clear" w:color="auto" w:fill="F4F6F8"/>
          </w:tcPr>
          <w:p>
            <w:pPr>
              <w:pStyle w:val="TableParagraph"/>
              <w:spacing w:line="256" w:lineRule="auto" w:before="79"/>
              <w:rPr>
                <w:sz w:val="18"/>
              </w:rPr>
            </w:pPr>
            <w:r>
              <w:rPr>
                <w:color w:val="1A1A2D"/>
                <w:sz w:val="18"/>
              </w:rPr>
              <w:t>Dirección General de Derechos Sociales del Gobierno de Canarias (responsable del tratamiento); AEAT; Seguridad Social.</w:t>
            </w:r>
          </w:p>
        </w:tc>
      </w:tr>
      <w:tr>
        <w:trPr>
          <w:trHeight w:val="712" w:hRule="atLeast"/>
        </w:trPr>
        <w:tc>
          <w:tcPr>
            <w:tcW w:w="2802" w:type="dxa"/>
            <w:shd w:val="clear" w:color="auto" w:fill="C7DCEF"/>
          </w:tcPr>
          <w:p>
            <w:pPr>
              <w:pStyle w:val="TableParagraph"/>
              <w:spacing w:before="129"/>
              <w:ind w:left="132"/>
              <w:rPr>
                <w:b/>
                <w:sz w:val="16"/>
              </w:rPr>
            </w:pPr>
            <w:r>
              <w:rPr>
                <w:b/>
                <w:color w:val="1A3556"/>
                <w:sz w:val="16"/>
              </w:rPr>
              <w:t>Plazo de conservación</w:t>
            </w:r>
          </w:p>
        </w:tc>
        <w:tc>
          <w:tcPr>
            <w:tcW w:w="6560" w:type="dxa"/>
            <w:tcBorders>
              <w:top w:val="single" w:sz="34" w:space="0" w:color="FFFFFF"/>
            </w:tcBorders>
          </w:tcPr>
          <w:p>
            <w:pPr>
              <w:pStyle w:val="TableParagraph"/>
              <w:spacing w:line="256" w:lineRule="auto"/>
              <w:rPr>
                <w:sz w:val="18"/>
              </w:rPr>
            </w:pPr>
            <w:r>
              <w:rPr>
                <w:color w:val="1A1A2D"/>
                <w:sz w:val="18"/>
              </w:rPr>
              <w:t>Mientras dure la relación laboral y 4 años adicionales conforme a la LISOS. Expediente personal: conservación indefinida.</w:t>
            </w:r>
          </w:p>
        </w:tc>
      </w:tr>
      <w:tr>
        <w:trPr>
          <w:trHeight w:val="553" w:hRule="atLeast"/>
        </w:trPr>
        <w:tc>
          <w:tcPr>
            <w:tcW w:w="2802" w:type="dxa"/>
            <w:shd w:val="clear" w:color="auto" w:fill="C7DCEF"/>
          </w:tcPr>
          <w:p>
            <w:pPr>
              <w:pStyle w:val="TableParagraph"/>
              <w:spacing w:before="88"/>
              <w:ind w:left="132"/>
              <w:rPr>
                <w:b/>
                <w:sz w:val="16"/>
              </w:rPr>
            </w:pPr>
            <w:r>
              <w:rPr>
                <w:b/>
                <w:color w:val="1A3556"/>
                <w:sz w:val="16"/>
              </w:rPr>
              <w:t>Transferencias internacionales</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No se realizan transferencias internacionales de datos personales.</w:t>
            </w:r>
          </w:p>
        </w:tc>
      </w:tr>
      <w:tr>
        <w:trPr>
          <w:trHeight w:val="709" w:hRule="atLeast"/>
        </w:trPr>
        <w:tc>
          <w:tcPr>
            <w:tcW w:w="2802" w:type="dxa"/>
            <w:shd w:val="clear" w:color="auto" w:fill="C7DCEF"/>
          </w:tcPr>
          <w:p>
            <w:pPr>
              <w:pStyle w:val="TableParagraph"/>
              <w:spacing w:line="254" w:lineRule="auto" w:before="26"/>
              <w:ind w:left="132" w:right="267"/>
              <w:rPr>
                <w:b/>
                <w:sz w:val="16"/>
              </w:rPr>
            </w:pPr>
            <w:r>
              <w:rPr>
                <w:b/>
                <w:color w:val="1A3556"/>
                <w:sz w:val="16"/>
              </w:rPr>
              <w:t>Medidas técnicas y organizativas de seguridad</w:t>
            </w:r>
          </w:p>
        </w:tc>
        <w:tc>
          <w:tcPr>
            <w:tcW w:w="6560" w:type="dxa"/>
            <w:tcBorders>
              <w:top w:val="single" w:sz="34" w:space="0" w:color="FFFFFF"/>
            </w:tcBorders>
          </w:tcPr>
          <w:p>
            <w:pPr>
              <w:pStyle w:val="TableParagraph"/>
              <w:spacing w:line="254" w:lineRule="auto"/>
              <w:rPr>
                <w:sz w:val="18"/>
              </w:rPr>
            </w:pPr>
            <w:r>
              <w:rPr>
                <w:color w:val="1A1A2D"/>
                <w:sz w:val="18"/>
              </w:rPr>
              <w:t>Acceso restringido a la dirección del centro y RRHH de FUCAS; medidas ENS RD 311/2022.</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Encargados del tratamiento</w:t>
            </w:r>
          </w:p>
        </w:tc>
        <w:tc>
          <w:tcPr>
            <w:tcW w:w="6560" w:type="dxa"/>
            <w:shd w:val="clear" w:color="auto" w:fill="F4F6F8"/>
          </w:tcPr>
          <w:p>
            <w:pPr>
              <w:pStyle w:val="TableParagraph"/>
              <w:spacing w:before="77"/>
              <w:rPr>
                <w:sz w:val="18"/>
              </w:rPr>
            </w:pPr>
            <w:r>
              <w:rPr>
                <w:color w:val="1A1A2D"/>
                <w:sz w:val="18"/>
              </w:rPr>
              <w:t>No aplica.</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Nivel de riesgo / EIPD</w:t>
            </w:r>
          </w:p>
        </w:tc>
        <w:tc>
          <w:tcPr>
            <w:tcW w:w="6560" w:type="dxa"/>
            <w:shd w:val="clear" w:color="auto" w:fill="FFF9CD"/>
          </w:tcPr>
          <w:p>
            <w:pPr>
              <w:pStyle w:val="TableParagraph"/>
              <w:spacing w:before="77"/>
              <w:rPr>
                <w:sz w:val="18"/>
              </w:rPr>
            </w:pPr>
            <w:r>
              <w:rPr>
                <w:color w:val="1A1A2D"/>
                <w:sz w:val="18"/>
              </w:rPr>
              <w:t>MEDIO – Datos laborales ordinarios.</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
        <w:rPr>
          <w:sz w:val="15"/>
        </w:rPr>
      </w:pPr>
      <w:r>
        <w:rPr/>
        <w:pict>
          <v:shape style="position:absolute;margin-left:55.200001pt;margin-top:10.418906pt;width:513.25pt;height:14.55pt;mso-position-horizontal-relative:page;mso-position-vertical-relative:paragraph;z-index:-251637760;mso-wrap-distance-left:0;mso-wrap-distance-right:0" type="#_x0000_t202" filled="true" fillcolor="#f4f6f8" stroked="false">
            <v:textbox inset="0,0,0,0">
              <w:txbxContent>
                <w:p>
                  <w:pPr>
                    <w:pStyle w:val="BodyText"/>
                    <w:spacing w:line="268" w:lineRule="exact"/>
                    <w:ind w:left="129"/>
                  </w:pPr>
                  <w:r>
                    <w:rPr>
                      <w:color w:val="1A3556"/>
                    </w:rPr>
                    <w:t>A-08 – Expedientes y gestión integral de usuarios – Centro de Adultos Hermano Pedro</w:t>
                  </w:r>
                </w:p>
              </w:txbxContent>
            </v:textbox>
            <v:fill type="solid"/>
            <w10:wrap type="topAndBottom"/>
          </v:shape>
        </w:pict>
      </w:r>
    </w:p>
    <w:p>
      <w:pPr>
        <w:spacing w:line="240" w:lineRule="auto" w:before="3" w:after="0"/>
        <w:rPr>
          <w:sz w:val="5"/>
        </w:rPr>
      </w:pPr>
    </w:p>
    <w:tbl>
      <w:tblPr>
        <w:tblW w:w="0" w:type="auto"/>
        <w:jc w:val="left"/>
        <w:tblInd w:w="79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474" w:hRule="atLeast"/>
        </w:trPr>
        <w:tc>
          <w:tcPr>
            <w:tcW w:w="2802" w:type="dxa"/>
            <w:shd w:val="clear" w:color="auto" w:fill="C7DCEF"/>
          </w:tcPr>
          <w:p>
            <w:pPr>
              <w:pStyle w:val="TableParagraph"/>
              <w:spacing w:before="9"/>
              <w:ind w:left="132"/>
              <w:rPr>
                <w:b/>
                <w:sz w:val="16"/>
              </w:rPr>
            </w:pPr>
            <w:r>
              <w:rPr>
                <w:b/>
                <w:color w:val="1A3556"/>
                <w:sz w:val="16"/>
              </w:rPr>
              <w:t>Código</w:t>
            </w:r>
          </w:p>
        </w:tc>
        <w:tc>
          <w:tcPr>
            <w:tcW w:w="6560" w:type="dxa"/>
            <w:tcBorders>
              <w:top w:val="single" w:sz="34" w:space="0" w:color="FFFFFF"/>
            </w:tcBorders>
          </w:tcPr>
          <w:p>
            <w:pPr>
              <w:pStyle w:val="TableParagraph"/>
              <w:spacing w:line="217" w:lineRule="exact"/>
              <w:rPr>
                <w:sz w:val="18"/>
              </w:rPr>
            </w:pPr>
            <w:r>
              <w:rPr>
                <w:color w:val="1A1A2D"/>
                <w:sz w:val="18"/>
              </w:rPr>
              <w:t>A-08</w:t>
            </w:r>
          </w:p>
        </w:tc>
      </w:tr>
      <w:tr>
        <w:trPr>
          <w:trHeight w:val="553" w:hRule="atLeast"/>
        </w:trPr>
        <w:tc>
          <w:tcPr>
            <w:tcW w:w="2802" w:type="dxa"/>
            <w:shd w:val="clear" w:color="auto" w:fill="C7DCEF"/>
          </w:tcPr>
          <w:p>
            <w:pPr>
              <w:pStyle w:val="TableParagraph"/>
              <w:spacing w:before="88"/>
              <w:ind w:left="132"/>
              <w:rPr>
                <w:b/>
                <w:sz w:val="16"/>
              </w:rPr>
            </w:pPr>
            <w:r>
              <w:rPr>
                <w:b/>
                <w:color w:val="1A3556"/>
                <w:sz w:val="16"/>
              </w:rPr>
              <w:t>Nombre del tratamiento</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Expedientes y gestión integral de usuarios – Centro de Adultos Hermano Pedro</w:t>
            </w:r>
          </w:p>
        </w:tc>
      </w:tr>
      <w:tr>
        <w:trPr>
          <w:trHeight w:val="475" w:hRule="atLeast"/>
        </w:trPr>
        <w:tc>
          <w:tcPr>
            <w:tcW w:w="2802" w:type="dxa"/>
            <w:shd w:val="clear" w:color="auto" w:fill="C7DCEF"/>
          </w:tcPr>
          <w:p>
            <w:pPr>
              <w:pStyle w:val="TableParagraph"/>
              <w:spacing w:before="9"/>
              <w:ind w:left="132"/>
              <w:rPr>
                <w:b/>
                <w:sz w:val="16"/>
              </w:rPr>
            </w:pPr>
            <w:r>
              <w:rPr>
                <w:b/>
                <w:color w:val="1A3556"/>
                <w:sz w:val="16"/>
              </w:rPr>
              <w:t>Rol de FUCAS</w:t>
            </w:r>
          </w:p>
        </w:tc>
        <w:tc>
          <w:tcPr>
            <w:tcW w:w="6560" w:type="dxa"/>
            <w:tcBorders>
              <w:top w:val="single" w:sz="34" w:space="0" w:color="FFFFFF"/>
            </w:tcBorders>
          </w:tcPr>
          <w:p>
            <w:pPr>
              <w:pStyle w:val="TableParagraph"/>
              <w:spacing w:line="217" w:lineRule="exact"/>
              <w:rPr>
                <w:sz w:val="18"/>
              </w:rPr>
            </w:pPr>
            <w:r>
              <w:rPr>
                <w:color w:val="1A1A2D"/>
                <w:sz w:val="18"/>
              </w:rPr>
              <w:t>RESPONSABLE</w:t>
            </w:r>
          </w:p>
        </w:tc>
      </w:tr>
      <w:tr>
        <w:trPr>
          <w:trHeight w:val="1501" w:hRule="atLeast"/>
        </w:trPr>
        <w:tc>
          <w:tcPr>
            <w:tcW w:w="2802" w:type="dxa"/>
            <w:shd w:val="clear" w:color="auto" w:fill="C7DCEF"/>
          </w:tcPr>
          <w:p>
            <w:pPr>
              <w:pStyle w:val="TableParagraph"/>
              <w:ind w:left="0"/>
              <w:rPr>
                <w:sz w:val="16"/>
              </w:rPr>
            </w:pPr>
          </w:p>
          <w:p>
            <w:pPr>
              <w:pStyle w:val="TableParagraph"/>
              <w:ind w:left="0"/>
              <w:rPr>
                <w:sz w:val="16"/>
              </w:rPr>
            </w:pPr>
          </w:p>
          <w:p>
            <w:pPr>
              <w:pStyle w:val="TableParagraph"/>
              <w:spacing w:before="2"/>
              <w:ind w:left="0"/>
              <w:rPr>
                <w:sz w:val="14"/>
              </w:rPr>
            </w:pPr>
          </w:p>
          <w:p>
            <w:pPr>
              <w:pStyle w:val="TableParagraph"/>
              <w:ind w:left="132"/>
              <w:rPr>
                <w:b/>
                <w:sz w:val="16"/>
              </w:rPr>
            </w:pPr>
            <w:r>
              <w:rPr>
                <w:b/>
                <w:color w:val="1A3556"/>
                <w:sz w:val="16"/>
              </w:rPr>
              <w:t>Finalidad del tratamiento</w:t>
            </w:r>
          </w:p>
        </w:tc>
        <w:tc>
          <w:tcPr>
            <w:tcW w:w="6560" w:type="dxa"/>
            <w:tcBorders>
              <w:bottom w:val="single" w:sz="34" w:space="0" w:color="FFFFFF"/>
            </w:tcBorders>
            <w:shd w:val="clear" w:color="auto" w:fill="F4F6F8"/>
          </w:tcPr>
          <w:p>
            <w:pPr>
              <w:pStyle w:val="TableParagraph"/>
              <w:spacing w:line="259" w:lineRule="auto" w:before="79"/>
              <w:ind w:right="108"/>
              <w:rPr>
                <w:sz w:val="18"/>
              </w:rPr>
            </w:pPr>
            <w:r>
              <w:rPr>
                <w:color w:val="1A1A2D"/>
                <w:sz w:val="18"/>
              </w:rPr>
              <w:t>Gestión y administración de todos los expedientes de las personas usuarias del Centro de Adultos Hermano Pedro para personas en situación de dependencia por discapacidad intelectual: admisión, plan de atención individualizado, seguimiento, actividades de rehabilitación y ocupacionales, coordinación sanitaria y con juzgados cuando los usuarios están bajo medidas de apoyo.</w:t>
            </w:r>
          </w:p>
        </w:tc>
      </w:tr>
      <w:tr>
        <w:trPr>
          <w:trHeight w:val="947" w:hRule="atLeast"/>
        </w:trPr>
        <w:tc>
          <w:tcPr>
            <w:tcW w:w="2802" w:type="dxa"/>
            <w:shd w:val="clear" w:color="auto" w:fill="C7DCEF"/>
          </w:tcPr>
          <w:p>
            <w:pPr>
              <w:pStyle w:val="TableParagraph"/>
              <w:spacing w:before="2"/>
              <w:ind w:left="0"/>
              <w:rPr>
                <w:sz w:val="20"/>
              </w:rPr>
            </w:pPr>
          </w:p>
          <w:p>
            <w:pPr>
              <w:pStyle w:val="TableParagraph"/>
              <w:ind w:left="132"/>
              <w:rPr>
                <w:b/>
                <w:sz w:val="16"/>
              </w:rPr>
            </w:pPr>
            <w:r>
              <w:rPr>
                <w:b/>
                <w:color w:val="1A3556"/>
                <w:sz w:val="16"/>
              </w:rPr>
              <w:t>Base jurídica</w:t>
            </w:r>
          </w:p>
        </w:tc>
        <w:tc>
          <w:tcPr>
            <w:tcW w:w="6560" w:type="dxa"/>
            <w:tcBorders>
              <w:top w:val="single" w:sz="34" w:space="0" w:color="FFFFFF"/>
            </w:tcBorders>
          </w:tcPr>
          <w:p>
            <w:pPr>
              <w:pStyle w:val="TableParagraph"/>
              <w:spacing w:line="259" w:lineRule="auto"/>
              <w:ind w:right="143"/>
              <w:jc w:val="both"/>
              <w:rPr>
                <w:sz w:val="18"/>
              </w:rPr>
            </w:pPr>
            <w:r>
              <w:rPr>
                <w:color w:val="1A1A2D"/>
                <w:sz w:val="18"/>
              </w:rPr>
              <w:t>Art. 6.1.c) RGPD – Obligación legal; art. 9.2.b) RGPD – datos de salud. LAPAD; Decreto 131/2011 de ordenación de servicios sociales de Canarias; RD 67/2012; Ley 2/1998 de Fundaciones Canarias; art. 8 Estatutos FUCAS.</w:t>
            </w:r>
          </w:p>
        </w:tc>
      </w:tr>
      <w:tr>
        <w:trPr>
          <w:trHeight w:val="1505" w:hRule="atLeast"/>
        </w:trPr>
        <w:tc>
          <w:tcPr>
            <w:tcW w:w="2802" w:type="dxa"/>
            <w:shd w:val="clear" w:color="auto" w:fill="C7DCEF"/>
          </w:tcPr>
          <w:p>
            <w:pPr>
              <w:pStyle w:val="TableParagraph"/>
              <w:ind w:left="0"/>
              <w:rPr>
                <w:sz w:val="16"/>
              </w:rPr>
            </w:pPr>
          </w:p>
          <w:p>
            <w:pPr>
              <w:pStyle w:val="TableParagraph"/>
              <w:ind w:left="0"/>
              <w:rPr>
                <w:sz w:val="16"/>
              </w:rPr>
            </w:pPr>
          </w:p>
          <w:p>
            <w:pPr>
              <w:pStyle w:val="TableParagraph"/>
              <w:spacing w:before="4"/>
              <w:ind w:left="0"/>
              <w:rPr>
                <w:sz w:val="14"/>
              </w:rPr>
            </w:pPr>
          </w:p>
          <w:p>
            <w:pPr>
              <w:pStyle w:val="TableParagraph"/>
              <w:spacing w:before="1"/>
              <w:ind w:left="132"/>
              <w:rPr>
                <w:b/>
                <w:sz w:val="16"/>
              </w:rPr>
            </w:pPr>
            <w:r>
              <w:rPr>
                <w:b/>
                <w:color w:val="1A3556"/>
                <w:sz w:val="16"/>
              </w:rPr>
              <w:t>Categorías de datos personales</w:t>
            </w:r>
          </w:p>
        </w:tc>
        <w:tc>
          <w:tcPr>
            <w:tcW w:w="6560" w:type="dxa"/>
            <w:shd w:val="clear" w:color="auto" w:fill="F4F6F8"/>
          </w:tcPr>
          <w:p>
            <w:pPr>
              <w:pStyle w:val="TableParagraph"/>
              <w:spacing w:line="259" w:lineRule="auto" w:before="79"/>
              <w:ind w:right="235"/>
              <w:rPr>
                <w:sz w:val="18"/>
              </w:rPr>
            </w:pPr>
            <w:r>
              <w:rPr>
                <w:color w:val="1A1A2D"/>
                <w:sz w:val="18"/>
              </w:rPr>
              <w:t>CATEGORÍAS ESPECIALES: Datos de salud (informes médicos, dictámenes técnicos, resolución de dependencia, informes sociales, historial clínico, medicación). Datos ordinarios: identificativos (nombre, DNI, dirección, tarjeta sanitaria); características personales (edad, características físicas); datos de formación y actividades (programas, asistencia, evolución).</w:t>
            </w:r>
          </w:p>
        </w:tc>
      </w:tr>
      <w:tr>
        <w:trPr>
          <w:trHeight w:val="789"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Colectivos de interesados</w:t>
            </w:r>
          </w:p>
        </w:tc>
        <w:tc>
          <w:tcPr>
            <w:tcW w:w="6560" w:type="dxa"/>
          </w:tcPr>
          <w:p>
            <w:pPr>
              <w:pStyle w:val="TableParagraph"/>
              <w:spacing w:line="254" w:lineRule="auto" w:before="79"/>
              <w:ind w:right="123"/>
              <w:rPr>
                <w:sz w:val="18"/>
              </w:rPr>
            </w:pPr>
            <w:r>
              <w:rPr>
                <w:color w:val="1A1A2D"/>
                <w:sz w:val="18"/>
              </w:rPr>
              <w:t>Personas adultas con discapacidad intelectual en situación de dependencia residentes o usuarios del centro. Familiares y representantes legales (curadores).</w:t>
            </w:r>
          </w:p>
        </w:tc>
      </w:tr>
      <w:tr>
        <w:trPr>
          <w:trHeight w:val="631" w:hRule="atLeast"/>
        </w:trPr>
        <w:tc>
          <w:tcPr>
            <w:tcW w:w="2802" w:type="dxa"/>
            <w:shd w:val="clear" w:color="auto" w:fill="C7DCEF"/>
          </w:tcPr>
          <w:p>
            <w:pPr>
              <w:pStyle w:val="TableParagraph"/>
              <w:spacing w:before="129"/>
              <w:ind w:left="132"/>
              <w:rPr>
                <w:b/>
                <w:sz w:val="16"/>
              </w:rPr>
            </w:pPr>
            <w:r>
              <w:rPr>
                <w:b/>
                <w:color w:val="1A3556"/>
                <w:sz w:val="16"/>
              </w:rPr>
              <w:t>Destinatarios / Cesionarios</w:t>
            </w:r>
          </w:p>
        </w:tc>
        <w:tc>
          <w:tcPr>
            <w:tcW w:w="6560" w:type="dxa"/>
            <w:shd w:val="clear" w:color="auto" w:fill="F4F6F8"/>
          </w:tcPr>
          <w:p>
            <w:pPr>
              <w:pStyle w:val="TableParagraph"/>
              <w:spacing w:line="259" w:lineRule="auto" w:before="79"/>
              <w:rPr>
                <w:sz w:val="18"/>
              </w:rPr>
            </w:pPr>
            <w:r>
              <w:rPr>
                <w:color w:val="1A1A2D"/>
                <w:sz w:val="18"/>
              </w:rPr>
              <w:t>Gobierno de Canarias – Consejería de Bienestar Social (supervisión e inspección); Cabildo de Tenerife (coordinación); Servicio Canario de Salud (coordinación sanitaria);</w:t>
            </w:r>
          </w:p>
        </w:tc>
      </w:tr>
    </w:tbl>
    <w:p>
      <w:pPr>
        <w:spacing w:line="240" w:lineRule="auto" w:before="0"/>
        <w:rPr>
          <w:sz w:val="20"/>
        </w:rPr>
      </w:pPr>
    </w:p>
    <w:p>
      <w:pPr>
        <w:spacing w:line="240" w:lineRule="auto" w:before="0"/>
        <w:rPr>
          <w:sz w:val="20"/>
        </w:rPr>
      </w:pPr>
    </w:p>
    <w:p>
      <w:pPr>
        <w:spacing w:line="240" w:lineRule="auto" w:before="10"/>
        <w:rPr>
          <w:sz w:val="19"/>
        </w:rPr>
      </w:pPr>
    </w:p>
    <w:p>
      <w:pPr>
        <w:spacing w:before="56"/>
        <w:ind w:left="906" w:right="261" w:firstLine="0"/>
        <w:jc w:val="center"/>
        <w:rPr>
          <w:sz w:val="22"/>
        </w:rPr>
      </w:pPr>
      <w:r>
        <w:rPr>
          <w:color w:val="4471C4"/>
          <w:sz w:val="22"/>
        </w:rPr>
        <w:t>12</w:t>
      </w:r>
    </w:p>
    <w:p>
      <w:pPr>
        <w:spacing w:after="0"/>
        <w:jc w:val="center"/>
        <w:rPr>
          <w:sz w:val="22"/>
        </w:rPr>
        <w:sectPr>
          <w:pgSz w:w="11910" w:h="16840"/>
          <w:pgMar w:top="1580" w:bottom="280" w:left="340" w:right="420"/>
        </w:sectPr>
      </w:pPr>
    </w:p>
    <w:p>
      <w:pPr>
        <w:spacing w:line="240" w:lineRule="auto" w:before="0"/>
        <w:rPr>
          <w:sz w:val="20"/>
        </w:rPr>
      </w:pPr>
      <w:r>
        <w:rPr/>
        <w:pict>
          <v:group style="position:absolute;margin-left:.000009pt;margin-top:36.832428pt;width:559.9pt;height:765.7pt;mso-position-horizontal-relative:page;mso-position-vertical-relative:page;z-index:-254800896" coordorigin="0,737" coordsize="11198,15314">
            <v:shape style="position:absolute;left:0;top:736;width:11198;height:15314" type="#_x0000_t75" stroked="false">
              <v:imagedata r:id="rId5" o:title=""/>
            </v:shape>
            <v:line style="position:absolute" from="1085,8939" to="1085,9227" stroked="true" strokeweight="1.92pt" strokecolor="#1a3556">
              <v:stroke dashstyle="solid"/>
            </v:line>
            <w10:wrap type="none"/>
          </v:group>
        </w:pict>
      </w:r>
    </w:p>
    <w:p>
      <w:pPr>
        <w:spacing w:line="240" w:lineRule="auto" w:before="0"/>
        <w:rPr>
          <w:sz w:val="20"/>
        </w:rPr>
      </w:pPr>
    </w:p>
    <w:p>
      <w:pPr>
        <w:spacing w:line="240" w:lineRule="auto" w:before="10" w:after="1"/>
        <w:rPr>
          <w:sz w:val="14"/>
        </w:rPr>
      </w:pPr>
    </w:p>
    <w:tbl>
      <w:tblPr>
        <w:tblW w:w="0" w:type="auto"/>
        <w:jc w:val="left"/>
        <w:tblInd w:w="79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791" w:hRule="atLeast"/>
        </w:trPr>
        <w:tc>
          <w:tcPr>
            <w:tcW w:w="2802" w:type="dxa"/>
            <w:shd w:val="clear" w:color="auto" w:fill="C7DCEF"/>
          </w:tcPr>
          <w:p>
            <w:pPr>
              <w:pStyle w:val="TableParagraph"/>
              <w:ind w:left="0"/>
              <w:rPr>
                <w:rFonts w:ascii="Times New Roman"/>
                <w:sz w:val="16"/>
              </w:rPr>
            </w:pPr>
          </w:p>
        </w:tc>
        <w:tc>
          <w:tcPr>
            <w:tcW w:w="6560" w:type="dxa"/>
            <w:tcBorders>
              <w:bottom w:val="single" w:sz="34" w:space="0" w:color="FFFFFF"/>
            </w:tcBorders>
            <w:shd w:val="clear" w:color="auto" w:fill="F4F6F8"/>
          </w:tcPr>
          <w:p>
            <w:pPr>
              <w:pStyle w:val="TableParagraph"/>
              <w:spacing w:line="256" w:lineRule="auto" w:before="79"/>
              <w:ind w:right="183"/>
              <w:rPr>
                <w:sz w:val="18"/>
              </w:rPr>
            </w:pPr>
            <w:r>
              <w:rPr>
                <w:color w:val="1A1A2D"/>
                <w:sz w:val="18"/>
              </w:rPr>
              <w:t>Juzgados y Tribunales de Canarias (cuando los usuarios están bajo medida de apoyo); centros ocupacionales.</w:t>
            </w:r>
          </w:p>
        </w:tc>
      </w:tr>
      <w:tr>
        <w:trPr>
          <w:trHeight w:val="712" w:hRule="atLeast"/>
        </w:trPr>
        <w:tc>
          <w:tcPr>
            <w:tcW w:w="2802" w:type="dxa"/>
            <w:shd w:val="clear" w:color="auto" w:fill="C7DCEF"/>
          </w:tcPr>
          <w:p>
            <w:pPr>
              <w:pStyle w:val="TableParagraph"/>
              <w:spacing w:before="129"/>
              <w:ind w:left="132"/>
              <w:rPr>
                <w:b/>
                <w:sz w:val="16"/>
              </w:rPr>
            </w:pPr>
            <w:r>
              <w:rPr>
                <w:b/>
                <w:color w:val="1A3556"/>
                <w:sz w:val="16"/>
              </w:rPr>
              <w:t>Plazo de conservación</w:t>
            </w:r>
          </w:p>
        </w:tc>
        <w:tc>
          <w:tcPr>
            <w:tcW w:w="6560" w:type="dxa"/>
            <w:tcBorders>
              <w:top w:val="single" w:sz="34" w:space="0" w:color="FFFFFF"/>
            </w:tcBorders>
          </w:tcPr>
          <w:p>
            <w:pPr>
              <w:pStyle w:val="TableParagraph"/>
              <w:spacing w:line="256" w:lineRule="auto"/>
              <w:ind w:right="235"/>
              <w:rPr>
                <w:sz w:val="18"/>
              </w:rPr>
            </w:pPr>
            <w:r>
              <w:rPr>
                <w:color w:val="1A1A2D"/>
                <w:sz w:val="18"/>
              </w:rPr>
              <w:t>Mientras dure la estancia. Datos de salud: 10 años tras el alta o fallecimiento. Restantes: 5 años. Documentación histórica conforme a normativa archivística.</w:t>
            </w:r>
          </w:p>
        </w:tc>
      </w:tr>
      <w:tr>
        <w:trPr>
          <w:trHeight w:val="553" w:hRule="atLeast"/>
        </w:trPr>
        <w:tc>
          <w:tcPr>
            <w:tcW w:w="2802" w:type="dxa"/>
            <w:shd w:val="clear" w:color="auto" w:fill="C7DCEF"/>
          </w:tcPr>
          <w:p>
            <w:pPr>
              <w:pStyle w:val="TableParagraph"/>
              <w:spacing w:before="88"/>
              <w:ind w:left="132"/>
              <w:rPr>
                <w:b/>
                <w:sz w:val="16"/>
              </w:rPr>
            </w:pPr>
            <w:r>
              <w:rPr>
                <w:b/>
                <w:color w:val="1A3556"/>
                <w:sz w:val="16"/>
              </w:rPr>
              <w:t>Transferencias internacionales</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No se realizan transferencias internacionales de datos personales.</w:t>
            </w:r>
          </w:p>
        </w:tc>
      </w:tr>
      <w:tr>
        <w:trPr>
          <w:trHeight w:val="947" w:hRule="atLeast"/>
        </w:trPr>
        <w:tc>
          <w:tcPr>
            <w:tcW w:w="2802" w:type="dxa"/>
            <w:shd w:val="clear" w:color="auto" w:fill="C7DCEF"/>
          </w:tcPr>
          <w:p>
            <w:pPr>
              <w:pStyle w:val="TableParagraph"/>
              <w:spacing w:line="256" w:lineRule="auto" w:before="143"/>
              <w:ind w:left="132" w:right="267"/>
              <w:rPr>
                <w:b/>
                <w:sz w:val="16"/>
              </w:rPr>
            </w:pPr>
            <w:r>
              <w:rPr>
                <w:b/>
                <w:color w:val="1A3556"/>
                <w:sz w:val="16"/>
              </w:rPr>
              <w:t>Medidas técnicas y organizativas de seguridad</w:t>
            </w:r>
          </w:p>
        </w:tc>
        <w:tc>
          <w:tcPr>
            <w:tcW w:w="6560" w:type="dxa"/>
            <w:tcBorders>
              <w:top w:val="single" w:sz="34" w:space="0" w:color="FFFFFF"/>
            </w:tcBorders>
          </w:tcPr>
          <w:p>
            <w:pPr>
              <w:pStyle w:val="TableParagraph"/>
              <w:spacing w:line="256" w:lineRule="auto"/>
              <w:ind w:right="129"/>
              <w:rPr>
                <w:sz w:val="18"/>
              </w:rPr>
            </w:pPr>
            <w:r>
              <w:rPr>
                <w:color w:val="1A1A2D"/>
                <w:sz w:val="18"/>
              </w:rPr>
              <w:t>Acceso restringido al personal del centro (roles diferenciados por área); protocolos de confidencialidad firmados; cifrado de expedientes electrónicos; custodia física de documentación; medidas ENS RD 311/2022; EIPD realizada.</w:t>
            </w:r>
          </w:p>
        </w:tc>
      </w:tr>
      <w:tr>
        <w:trPr>
          <w:trHeight w:val="1502" w:hRule="atLeast"/>
        </w:trPr>
        <w:tc>
          <w:tcPr>
            <w:tcW w:w="2802" w:type="dxa"/>
            <w:shd w:val="clear" w:color="auto" w:fill="C7DCEF"/>
          </w:tcPr>
          <w:p>
            <w:pPr>
              <w:pStyle w:val="TableParagraph"/>
              <w:ind w:left="0"/>
              <w:rPr>
                <w:sz w:val="16"/>
              </w:rPr>
            </w:pPr>
          </w:p>
          <w:p>
            <w:pPr>
              <w:pStyle w:val="TableParagraph"/>
              <w:ind w:left="0"/>
              <w:rPr>
                <w:sz w:val="16"/>
              </w:rPr>
            </w:pPr>
          </w:p>
          <w:p>
            <w:pPr>
              <w:pStyle w:val="TableParagraph"/>
              <w:spacing w:before="3"/>
              <w:ind w:left="0"/>
              <w:rPr>
                <w:sz w:val="14"/>
              </w:rPr>
            </w:pPr>
          </w:p>
          <w:p>
            <w:pPr>
              <w:pStyle w:val="TableParagraph"/>
              <w:ind w:left="132"/>
              <w:rPr>
                <w:b/>
                <w:sz w:val="16"/>
              </w:rPr>
            </w:pPr>
            <w:r>
              <w:rPr>
                <w:b/>
                <w:color w:val="1A3556"/>
                <w:sz w:val="16"/>
              </w:rPr>
              <w:t>Encargados del tratamiento</w:t>
            </w:r>
          </w:p>
        </w:tc>
        <w:tc>
          <w:tcPr>
            <w:tcW w:w="6560" w:type="dxa"/>
            <w:shd w:val="clear" w:color="auto" w:fill="F4F6F8"/>
          </w:tcPr>
          <w:p>
            <w:pPr>
              <w:pStyle w:val="TableParagraph"/>
              <w:spacing w:line="259" w:lineRule="auto" w:before="80"/>
              <w:ind w:right="235"/>
              <w:rPr>
                <w:sz w:val="18"/>
              </w:rPr>
            </w:pPr>
            <w:r>
              <w:rPr>
                <w:color w:val="1A1A2D"/>
                <w:sz w:val="18"/>
              </w:rPr>
              <w:t>Raquel Medina Rodríguez (profesional externa); ET Más allá de un servicio (servicios sociosanitarios); Pérez y Cairos S.L.; Ocaso SA Compañía de Seguros y Reaseguros; CEPA Farola de Santa Cruz; Asociación Domitla Hernández – Fademur Canarias; Didácticas Galoys S.L.; Radio ECCA Fundación Canaria; C.I.F.P. Los Gladiolos; C.I.F.P. César Manrique; Farmacia Salamanca. Todos con contrato o cláusula art. 28 RGPD.</w:t>
            </w:r>
          </w:p>
        </w:tc>
      </w:tr>
      <w:tr>
        <w:trPr>
          <w:trHeight w:val="1029" w:hRule="atLeast"/>
        </w:trPr>
        <w:tc>
          <w:tcPr>
            <w:tcW w:w="2802" w:type="dxa"/>
            <w:shd w:val="clear" w:color="auto" w:fill="C7DCEF"/>
          </w:tcPr>
          <w:p>
            <w:pPr>
              <w:pStyle w:val="TableParagraph"/>
              <w:ind w:left="0"/>
              <w:rPr>
                <w:sz w:val="16"/>
              </w:rPr>
            </w:pPr>
          </w:p>
          <w:p>
            <w:pPr>
              <w:pStyle w:val="TableParagraph"/>
              <w:spacing w:before="133"/>
              <w:ind w:left="132"/>
              <w:rPr>
                <w:b/>
                <w:sz w:val="16"/>
              </w:rPr>
            </w:pPr>
            <w:r>
              <w:rPr>
                <w:b/>
                <w:color w:val="1A3556"/>
                <w:sz w:val="16"/>
              </w:rPr>
              <w:t>Nivel de riesgo / EIPD</w:t>
            </w:r>
          </w:p>
        </w:tc>
        <w:tc>
          <w:tcPr>
            <w:tcW w:w="6560" w:type="dxa"/>
            <w:shd w:val="clear" w:color="auto" w:fill="FFDFD5"/>
          </w:tcPr>
          <w:p>
            <w:pPr>
              <w:pStyle w:val="TableParagraph"/>
              <w:spacing w:line="259" w:lineRule="auto" w:before="79"/>
              <w:ind w:right="679"/>
              <w:jc w:val="both"/>
              <w:rPr>
                <w:sz w:val="18"/>
              </w:rPr>
            </w:pPr>
            <w:r>
              <w:rPr>
                <w:color w:val="1A1A2D"/>
                <w:sz w:val="18"/>
              </w:rPr>
              <w:t>MUY ALTO – Datos de salud de personas con discapacidad intelectual;</w:t>
            </w:r>
            <w:r>
              <w:rPr>
                <w:color w:val="1A1A2D"/>
                <w:spacing w:val="-25"/>
                <w:sz w:val="18"/>
              </w:rPr>
              <w:t> </w:t>
            </w:r>
            <w:r>
              <w:rPr>
                <w:color w:val="1A1A2D"/>
                <w:sz w:val="18"/>
              </w:rPr>
              <w:t>entorno residencial; posible coincidencia con personas bajo medidas de apoyo judicial. Requiere</w:t>
            </w:r>
            <w:r>
              <w:rPr>
                <w:color w:val="1A1A2D"/>
                <w:spacing w:val="-3"/>
                <w:sz w:val="18"/>
              </w:rPr>
              <w:t> </w:t>
            </w:r>
            <w:r>
              <w:rPr>
                <w:color w:val="1A1A2D"/>
                <w:sz w:val="18"/>
              </w:rPr>
              <w:t>EIPD.</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
        <w:rPr>
          <w:sz w:val="15"/>
        </w:rPr>
      </w:pPr>
      <w:r>
        <w:rPr/>
        <w:pict>
          <v:shape style="position:absolute;margin-left:55.200001pt;margin-top:10.418906pt;width:513.25pt;height:14.4pt;mso-position-horizontal-relative:page;mso-position-vertical-relative:paragraph;z-index:-251635712;mso-wrap-distance-left:0;mso-wrap-distance-right:0" type="#_x0000_t202" filled="true" fillcolor="#f4f6f8" stroked="false">
            <v:textbox inset="0,0,0,0">
              <w:txbxContent>
                <w:p>
                  <w:pPr>
                    <w:pStyle w:val="BodyText"/>
                    <w:spacing w:line="268" w:lineRule="exact"/>
                    <w:ind w:left="129"/>
                  </w:pPr>
                  <w:r>
                    <w:rPr>
                      <w:color w:val="1A3556"/>
                    </w:rPr>
                    <w:t>A-09 – Área administrativa y económica – Centro de Adultos Hermano Pedro</w:t>
                  </w:r>
                </w:p>
              </w:txbxContent>
            </v:textbox>
            <v:fill type="solid"/>
            <w10:wrap type="topAndBottom"/>
          </v:shape>
        </w:pict>
      </w:r>
    </w:p>
    <w:p>
      <w:pPr>
        <w:spacing w:line="240" w:lineRule="auto" w:before="3" w:after="0"/>
        <w:rPr>
          <w:sz w:val="5"/>
        </w:rPr>
      </w:pPr>
    </w:p>
    <w:tbl>
      <w:tblPr>
        <w:tblW w:w="0" w:type="auto"/>
        <w:jc w:val="left"/>
        <w:tblInd w:w="79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474" w:hRule="atLeast"/>
        </w:trPr>
        <w:tc>
          <w:tcPr>
            <w:tcW w:w="2802" w:type="dxa"/>
            <w:shd w:val="clear" w:color="auto" w:fill="C7DCEF"/>
          </w:tcPr>
          <w:p>
            <w:pPr>
              <w:pStyle w:val="TableParagraph"/>
              <w:spacing w:before="11"/>
              <w:ind w:left="132"/>
              <w:rPr>
                <w:b/>
                <w:sz w:val="16"/>
              </w:rPr>
            </w:pPr>
            <w:r>
              <w:rPr>
                <w:b/>
                <w:color w:val="1A3556"/>
                <w:sz w:val="16"/>
              </w:rPr>
              <w:t>Código</w:t>
            </w:r>
          </w:p>
        </w:tc>
        <w:tc>
          <w:tcPr>
            <w:tcW w:w="6560" w:type="dxa"/>
            <w:tcBorders>
              <w:top w:val="single" w:sz="34" w:space="0" w:color="FFFFFF"/>
            </w:tcBorders>
          </w:tcPr>
          <w:p>
            <w:pPr>
              <w:pStyle w:val="TableParagraph"/>
              <w:spacing w:line="217" w:lineRule="exact"/>
              <w:rPr>
                <w:sz w:val="18"/>
              </w:rPr>
            </w:pPr>
            <w:r>
              <w:rPr>
                <w:color w:val="1A1A2D"/>
                <w:sz w:val="18"/>
              </w:rPr>
              <w:t>A-09</w:t>
            </w:r>
          </w:p>
        </w:tc>
      </w:tr>
      <w:tr>
        <w:trPr>
          <w:trHeight w:val="553" w:hRule="atLeast"/>
        </w:trPr>
        <w:tc>
          <w:tcPr>
            <w:tcW w:w="2802" w:type="dxa"/>
            <w:shd w:val="clear" w:color="auto" w:fill="C7DCEF"/>
          </w:tcPr>
          <w:p>
            <w:pPr>
              <w:pStyle w:val="TableParagraph"/>
              <w:spacing w:before="91"/>
              <w:ind w:left="132"/>
              <w:rPr>
                <w:b/>
                <w:sz w:val="16"/>
              </w:rPr>
            </w:pPr>
            <w:r>
              <w:rPr>
                <w:b/>
                <w:color w:val="1A3556"/>
                <w:sz w:val="16"/>
              </w:rPr>
              <w:t>Nombre del tratamiento</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Área administrativa y económica – Centro de Adultos Hermano Pedro</w:t>
            </w:r>
          </w:p>
        </w:tc>
      </w:tr>
      <w:tr>
        <w:trPr>
          <w:trHeight w:val="474" w:hRule="atLeast"/>
        </w:trPr>
        <w:tc>
          <w:tcPr>
            <w:tcW w:w="2802" w:type="dxa"/>
            <w:shd w:val="clear" w:color="auto" w:fill="C7DCEF"/>
          </w:tcPr>
          <w:p>
            <w:pPr>
              <w:pStyle w:val="TableParagraph"/>
              <w:spacing w:before="11"/>
              <w:ind w:left="132"/>
              <w:rPr>
                <w:b/>
                <w:sz w:val="16"/>
              </w:rPr>
            </w:pPr>
            <w:r>
              <w:rPr>
                <w:b/>
                <w:color w:val="1A3556"/>
                <w:sz w:val="16"/>
              </w:rPr>
              <w:t>Rol de FUCAS</w:t>
            </w:r>
          </w:p>
        </w:tc>
        <w:tc>
          <w:tcPr>
            <w:tcW w:w="6560" w:type="dxa"/>
            <w:tcBorders>
              <w:top w:val="single" w:sz="34" w:space="0" w:color="FFFFFF"/>
            </w:tcBorders>
          </w:tcPr>
          <w:p>
            <w:pPr>
              <w:pStyle w:val="TableParagraph"/>
              <w:spacing w:line="217" w:lineRule="exact"/>
              <w:rPr>
                <w:sz w:val="18"/>
              </w:rPr>
            </w:pPr>
            <w:r>
              <w:rPr>
                <w:color w:val="1A1A2D"/>
                <w:sz w:val="18"/>
              </w:rPr>
              <w:t>RESPONSABLE</w:t>
            </w:r>
          </w:p>
        </w:tc>
      </w:tr>
      <w:tr>
        <w:trPr>
          <w:trHeight w:val="1029" w:hRule="atLeast"/>
        </w:trPr>
        <w:tc>
          <w:tcPr>
            <w:tcW w:w="2802" w:type="dxa"/>
            <w:shd w:val="clear" w:color="auto" w:fill="C7DCEF"/>
          </w:tcPr>
          <w:p>
            <w:pPr>
              <w:pStyle w:val="TableParagraph"/>
              <w:ind w:left="0"/>
              <w:rPr>
                <w:sz w:val="16"/>
              </w:rPr>
            </w:pPr>
          </w:p>
          <w:p>
            <w:pPr>
              <w:pStyle w:val="TableParagraph"/>
              <w:spacing w:before="133"/>
              <w:ind w:left="132"/>
              <w:rPr>
                <w:b/>
                <w:sz w:val="16"/>
              </w:rPr>
            </w:pPr>
            <w:r>
              <w:rPr>
                <w:b/>
                <w:color w:val="1A3556"/>
                <w:sz w:val="16"/>
              </w:rPr>
              <w:t>Finalidad del tratamiento</w:t>
            </w:r>
          </w:p>
        </w:tc>
        <w:tc>
          <w:tcPr>
            <w:tcW w:w="6560" w:type="dxa"/>
            <w:tcBorders>
              <w:bottom w:val="single" w:sz="34" w:space="0" w:color="FFFFFF"/>
            </w:tcBorders>
            <w:shd w:val="clear" w:color="auto" w:fill="F4F6F8"/>
          </w:tcPr>
          <w:p>
            <w:pPr>
              <w:pStyle w:val="TableParagraph"/>
              <w:spacing w:line="259" w:lineRule="auto" w:before="79"/>
              <w:rPr>
                <w:sz w:val="18"/>
              </w:rPr>
            </w:pPr>
            <w:r>
              <w:rPr>
                <w:color w:val="1A1A2D"/>
                <w:sz w:val="18"/>
              </w:rPr>
              <w:t>Gestión de trámites administrativos y económicos del Centro Hermano Pedro: facturación del copago a familias, gestión de pagos a proveedores, control de gastos e ingresos del centro, coordinación con la contabilidad central de FUCAS.</w:t>
            </w:r>
          </w:p>
        </w:tc>
      </w:tr>
      <w:tr>
        <w:trPr>
          <w:trHeight w:val="712" w:hRule="atLeast"/>
        </w:trPr>
        <w:tc>
          <w:tcPr>
            <w:tcW w:w="2802" w:type="dxa"/>
            <w:shd w:val="clear" w:color="auto" w:fill="C7DCEF"/>
          </w:tcPr>
          <w:p>
            <w:pPr>
              <w:pStyle w:val="TableParagraph"/>
              <w:spacing w:before="129"/>
              <w:ind w:left="132"/>
              <w:rPr>
                <w:b/>
                <w:sz w:val="16"/>
              </w:rPr>
            </w:pPr>
            <w:r>
              <w:rPr>
                <w:b/>
                <w:color w:val="1A3556"/>
                <w:sz w:val="16"/>
              </w:rPr>
              <w:t>Base jurídica</w:t>
            </w:r>
          </w:p>
        </w:tc>
        <w:tc>
          <w:tcPr>
            <w:tcW w:w="6560" w:type="dxa"/>
            <w:tcBorders>
              <w:top w:val="single" w:sz="34" w:space="0" w:color="FFFFFF"/>
            </w:tcBorders>
          </w:tcPr>
          <w:p>
            <w:pPr>
              <w:pStyle w:val="TableParagraph"/>
              <w:spacing w:line="256" w:lineRule="auto"/>
              <w:ind w:right="286"/>
              <w:rPr>
                <w:sz w:val="18"/>
              </w:rPr>
            </w:pPr>
            <w:r>
              <w:rPr>
                <w:color w:val="1A1A2D"/>
                <w:sz w:val="18"/>
              </w:rPr>
              <w:t>Art. 6.1.b) y c) RGPD – Relación contractual y obligación legal contable. Ley 38/2003 General de Subvenciones; TRLRHL; Ley 2/1998 de Fundaciones Canarias.</w:t>
            </w:r>
          </w:p>
        </w:tc>
      </w:tr>
      <w:tr>
        <w:trPr>
          <w:trHeight w:val="1502" w:hRule="atLeast"/>
        </w:trPr>
        <w:tc>
          <w:tcPr>
            <w:tcW w:w="2802" w:type="dxa"/>
            <w:shd w:val="clear" w:color="auto" w:fill="C7DCEF"/>
          </w:tcPr>
          <w:p>
            <w:pPr>
              <w:pStyle w:val="TableParagraph"/>
              <w:ind w:left="0"/>
              <w:rPr>
                <w:sz w:val="16"/>
              </w:rPr>
            </w:pPr>
          </w:p>
          <w:p>
            <w:pPr>
              <w:pStyle w:val="TableParagraph"/>
              <w:ind w:left="0"/>
              <w:rPr>
                <w:sz w:val="16"/>
              </w:rPr>
            </w:pPr>
          </w:p>
          <w:p>
            <w:pPr>
              <w:pStyle w:val="TableParagraph"/>
              <w:spacing w:before="3"/>
              <w:ind w:left="0"/>
              <w:rPr>
                <w:sz w:val="14"/>
              </w:rPr>
            </w:pPr>
          </w:p>
          <w:p>
            <w:pPr>
              <w:pStyle w:val="TableParagraph"/>
              <w:ind w:left="132"/>
              <w:rPr>
                <w:b/>
                <w:sz w:val="16"/>
              </w:rPr>
            </w:pPr>
            <w:r>
              <w:rPr>
                <w:b/>
                <w:color w:val="1A3556"/>
                <w:sz w:val="16"/>
              </w:rPr>
              <w:t>Categorías de datos personales</w:t>
            </w:r>
          </w:p>
        </w:tc>
        <w:tc>
          <w:tcPr>
            <w:tcW w:w="6560" w:type="dxa"/>
            <w:tcBorders>
              <w:bottom w:val="single" w:sz="34" w:space="0" w:color="FFFFFF"/>
            </w:tcBorders>
            <w:shd w:val="clear" w:color="auto" w:fill="F4F6F8"/>
          </w:tcPr>
          <w:p>
            <w:pPr>
              <w:pStyle w:val="TableParagraph"/>
              <w:spacing w:line="259" w:lineRule="auto" w:before="79"/>
              <w:rPr>
                <w:sz w:val="18"/>
              </w:rPr>
            </w:pPr>
            <w:r>
              <w:rPr>
                <w:color w:val="1A1A2D"/>
                <w:sz w:val="18"/>
              </w:rPr>
              <w:t>CATEGORÍAS ESPECIALES (usuarios): Datos de salud en la medida necesaria para la gestión del copago (resolución de dependencia). Datos ordinarios: identificativos de personal, usuarios y proveedores (nombre, DNI, dirección, tarjeta sanitaria); datos económicos y bancarios; datos de formación y asistencia para justificación de la prestación.</w:t>
            </w:r>
          </w:p>
        </w:tc>
      </w:tr>
      <w:tr>
        <w:trPr>
          <w:trHeight w:val="474" w:hRule="atLeast"/>
        </w:trPr>
        <w:tc>
          <w:tcPr>
            <w:tcW w:w="2802" w:type="dxa"/>
            <w:shd w:val="clear" w:color="auto" w:fill="C7DCEF"/>
          </w:tcPr>
          <w:p>
            <w:pPr>
              <w:pStyle w:val="TableParagraph"/>
              <w:spacing w:before="9"/>
              <w:ind w:left="132"/>
              <w:rPr>
                <w:b/>
                <w:sz w:val="16"/>
              </w:rPr>
            </w:pPr>
            <w:r>
              <w:rPr>
                <w:b/>
                <w:color w:val="1A3556"/>
                <w:sz w:val="16"/>
              </w:rPr>
              <w:t>Colectivos de interesados</w:t>
            </w:r>
          </w:p>
        </w:tc>
        <w:tc>
          <w:tcPr>
            <w:tcW w:w="6560" w:type="dxa"/>
            <w:tcBorders>
              <w:top w:val="single" w:sz="34" w:space="0" w:color="FFFFFF"/>
            </w:tcBorders>
          </w:tcPr>
          <w:p>
            <w:pPr>
              <w:pStyle w:val="TableParagraph"/>
              <w:spacing w:line="217" w:lineRule="exact"/>
              <w:rPr>
                <w:sz w:val="18"/>
              </w:rPr>
            </w:pPr>
            <w:r>
              <w:rPr>
                <w:color w:val="1A1A2D"/>
                <w:sz w:val="18"/>
              </w:rPr>
              <w:t>Personal del centro; usuarios y sus representantes legales; proveedores.</w:t>
            </w:r>
          </w:p>
        </w:tc>
      </w:tr>
    </w:tbl>
    <w:p>
      <w:pPr>
        <w:spacing w:line="240" w:lineRule="auto" w:before="0"/>
        <w:rPr>
          <w:sz w:val="20"/>
        </w:rPr>
      </w:pPr>
    </w:p>
    <w:p>
      <w:pPr>
        <w:spacing w:line="240" w:lineRule="auto" w:before="0"/>
        <w:rPr>
          <w:sz w:val="20"/>
        </w:rPr>
      </w:pPr>
    </w:p>
    <w:p>
      <w:pPr>
        <w:spacing w:line="240" w:lineRule="auto" w:before="1"/>
        <w:rPr>
          <w:sz w:val="18"/>
        </w:rPr>
      </w:pPr>
    </w:p>
    <w:p>
      <w:pPr>
        <w:spacing w:before="0"/>
        <w:ind w:left="906" w:right="261" w:firstLine="0"/>
        <w:jc w:val="center"/>
        <w:rPr>
          <w:sz w:val="22"/>
        </w:rPr>
      </w:pPr>
      <w:r>
        <w:rPr>
          <w:color w:val="4471C4"/>
          <w:sz w:val="22"/>
        </w:rPr>
        <w:t>13</w:t>
      </w:r>
    </w:p>
    <w:p>
      <w:pPr>
        <w:spacing w:after="0"/>
        <w:jc w:val="center"/>
        <w:rPr>
          <w:sz w:val="22"/>
        </w:rPr>
        <w:sectPr>
          <w:pgSz w:w="11910" w:h="16840"/>
          <w:pgMar w:top="1580" w:bottom="280" w:left="340" w:right="420"/>
        </w:sectPr>
      </w:pPr>
    </w:p>
    <w:p>
      <w:pPr>
        <w:spacing w:line="240" w:lineRule="auto" w:before="0"/>
        <w:rPr>
          <w:sz w:val="20"/>
        </w:rPr>
      </w:pPr>
      <w:r>
        <w:rPr/>
        <w:pict>
          <v:group style="position:absolute;margin-left:.000009pt;margin-top:36.832428pt;width:559.9pt;height:765.7pt;mso-position-horizontal-relative:page;mso-position-vertical-relative:page;z-index:-254798848" coordorigin="0,737" coordsize="11198,15314">
            <v:shape style="position:absolute;left:0;top:736;width:11198;height:15314" type="#_x0000_t75" stroked="false">
              <v:imagedata r:id="rId5" o:title=""/>
            </v:shape>
            <v:line style="position:absolute" from="1085,7278" to="1085,7568" stroked="true" strokeweight="1.92pt" strokecolor="#1a3556">
              <v:stroke dashstyle="solid"/>
            </v:line>
            <w10:wrap type="none"/>
          </v:group>
        </w:pict>
      </w:r>
    </w:p>
    <w:p>
      <w:pPr>
        <w:spacing w:line="240" w:lineRule="auto" w:before="0"/>
        <w:rPr>
          <w:sz w:val="20"/>
        </w:rPr>
      </w:pPr>
    </w:p>
    <w:p>
      <w:pPr>
        <w:spacing w:line="240" w:lineRule="auto" w:before="10" w:after="1"/>
        <w:rPr>
          <w:sz w:val="14"/>
        </w:rPr>
      </w:pPr>
    </w:p>
    <w:tbl>
      <w:tblPr>
        <w:tblW w:w="0" w:type="auto"/>
        <w:jc w:val="left"/>
        <w:tblInd w:w="79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Destinatarios / Cesionarios</w:t>
            </w:r>
          </w:p>
        </w:tc>
        <w:tc>
          <w:tcPr>
            <w:tcW w:w="6560" w:type="dxa"/>
            <w:tcBorders>
              <w:bottom w:val="single" w:sz="34" w:space="0" w:color="FFFFFF"/>
            </w:tcBorders>
            <w:shd w:val="clear" w:color="auto" w:fill="F4F6F8"/>
          </w:tcPr>
          <w:p>
            <w:pPr>
              <w:pStyle w:val="TableParagraph"/>
              <w:spacing w:line="256" w:lineRule="auto" w:before="79"/>
              <w:rPr>
                <w:sz w:val="18"/>
              </w:rPr>
            </w:pPr>
            <w:r>
              <w:rPr>
                <w:color w:val="1A1A2D"/>
                <w:sz w:val="18"/>
              </w:rPr>
              <w:t>Gobierno de Canarias; Cabildo de Tenerife; Servicio Canario de Salud; Juzgados y Tribunales de Canarias.</w:t>
            </w:r>
          </w:p>
        </w:tc>
      </w:tr>
      <w:tr>
        <w:trPr>
          <w:trHeight w:val="712" w:hRule="atLeast"/>
        </w:trPr>
        <w:tc>
          <w:tcPr>
            <w:tcW w:w="2802" w:type="dxa"/>
            <w:shd w:val="clear" w:color="auto" w:fill="C7DCEF"/>
          </w:tcPr>
          <w:p>
            <w:pPr>
              <w:pStyle w:val="TableParagraph"/>
              <w:spacing w:before="129"/>
              <w:ind w:left="132"/>
              <w:rPr>
                <w:b/>
                <w:sz w:val="16"/>
              </w:rPr>
            </w:pPr>
            <w:r>
              <w:rPr>
                <w:b/>
                <w:color w:val="1A3556"/>
                <w:sz w:val="16"/>
              </w:rPr>
              <w:t>Plazo de conservación</w:t>
            </w:r>
          </w:p>
        </w:tc>
        <w:tc>
          <w:tcPr>
            <w:tcW w:w="6560" w:type="dxa"/>
            <w:tcBorders>
              <w:top w:val="single" w:sz="34" w:space="0" w:color="FFFFFF"/>
            </w:tcBorders>
          </w:tcPr>
          <w:p>
            <w:pPr>
              <w:pStyle w:val="TableParagraph"/>
              <w:spacing w:line="256" w:lineRule="auto"/>
              <w:ind w:right="407"/>
              <w:rPr>
                <w:sz w:val="18"/>
              </w:rPr>
            </w:pPr>
            <w:r>
              <w:rPr>
                <w:color w:val="1A1A2D"/>
                <w:sz w:val="18"/>
              </w:rPr>
              <w:t>Datos contables y facturas: 6 años. Datos de usuarios con relevancia económica: 5 años tras el alta.</w:t>
            </w:r>
          </w:p>
        </w:tc>
      </w:tr>
      <w:tr>
        <w:trPr>
          <w:trHeight w:val="553" w:hRule="atLeast"/>
        </w:trPr>
        <w:tc>
          <w:tcPr>
            <w:tcW w:w="2802" w:type="dxa"/>
            <w:shd w:val="clear" w:color="auto" w:fill="C7DCEF"/>
          </w:tcPr>
          <w:p>
            <w:pPr>
              <w:pStyle w:val="TableParagraph"/>
              <w:spacing w:before="88"/>
              <w:ind w:left="132"/>
              <w:rPr>
                <w:b/>
                <w:sz w:val="16"/>
              </w:rPr>
            </w:pPr>
            <w:r>
              <w:rPr>
                <w:b/>
                <w:color w:val="1A3556"/>
                <w:sz w:val="16"/>
              </w:rPr>
              <w:t>Transferencias internacionales</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No se realizan transferencias internacionales de datos personales.</w:t>
            </w:r>
          </w:p>
        </w:tc>
      </w:tr>
      <w:tr>
        <w:trPr>
          <w:trHeight w:val="709" w:hRule="atLeast"/>
        </w:trPr>
        <w:tc>
          <w:tcPr>
            <w:tcW w:w="2802" w:type="dxa"/>
            <w:shd w:val="clear" w:color="auto" w:fill="C7DCEF"/>
          </w:tcPr>
          <w:p>
            <w:pPr>
              <w:pStyle w:val="TableParagraph"/>
              <w:spacing w:line="254" w:lineRule="auto" w:before="26"/>
              <w:ind w:left="132" w:right="267"/>
              <w:rPr>
                <w:b/>
                <w:sz w:val="16"/>
              </w:rPr>
            </w:pPr>
            <w:r>
              <w:rPr>
                <w:b/>
                <w:color w:val="1A3556"/>
                <w:sz w:val="16"/>
              </w:rPr>
              <w:t>Medidas técnicas y organizativas de seguridad</w:t>
            </w:r>
          </w:p>
        </w:tc>
        <w:tc>
          <w:tcPr>
            <w:tcW w:w="6560" w:type="dxa"/>
            <w:tcBorders>
              <w:top w:val="single" w:sz="34" w:space="0" w:color="FFFFFF"/>
            </w:tcBorders>
          </w:tcPr>
          <w:p>
            <w:pPr>
              <w:pStyle w:val="TableParagraph"/>
              <w:spacing w:line="254" w:lineRule="auto"/>
              <w:ind w:right="235"/>
              <w:rPr>
                <w:sz w:val="18"/>
              </w:rPr>
            </w:pPr>
            <w:r>
              <w:rPr>
                <w:color w:val="1A1A2D"/>
                <w:sz w:val="18"/>
              </w:rPr>
              <w:t>Acceso restringido al personal administrativo del centro y RRHH de FUCAS; medidas ENS RD 311/2022.</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Encargados del tratamiento</w:t>
            </w:r>
          </w:p>
        </w:tc>
        <w:tc>
          <w:tcPr>
            <w:tcW w:w="6560" w:type="dxa"/>
            <w:shd w:val="clear" w:color="auto" w:fill="F4F6F8"/>
          </w:tcPr>
          <w:p>
            <w:pPr>
              <w:pStyle w:val="TableParagraph"/>
              <w:spacing w:before="77"/>
              <w:rPr>
                <w:sz w:val="18"/>
              </w:rPr>
            </w:pPr>
            <w:r>
              <w:rPr>
                <w:color w:val="1A1A2D"/>
                <w:sz w:val="18"/>
              </w:rPr>
              <w:t>Software contable ALEXIA (encargada con contrato art. 28 RGPD).</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Nivel de riesgo / EIPD</w:t>
            </w:r>
          </w:p>
        </w:tc>
        <w:tc>
          <w:tcPr>
            <w:tcW w:w="6560" w:type="dxa"/>
            <w:shd w:val="clear" w:color="auto" w:fill="FFEDDD"/>
          </w:tcPr>
          <w:p>
            <w:pPr>
              <w:pStyle w:val="TableParagraph"/>
              <w:spacing w:before="77"/>
              <w:rPr>
                <w:sz w:val="18"/>
              </w:rPr>
            </w:pPr>
            <w:r>
              <w:rPr>
                <w:color w:val="1A1A2D"/>
                <w:sz w:val="18"/>
              </w:rPr>
              <w:t>ALTO – Datos de salud asociados a la gestión económica.</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
        <w:rPr>
          <w:sz w:val="15"/>
        </w:rPr>
      </w:pPr>
      <w:r>
        <w:rPr/>
        <w:pict>
          <v:shape style="position:absolute;margin-left:55.200001pt;margin-top:10.418906pt;width:513.25pt;height:14.55pt;mso-position-horizontal-relative:page;mso-position-vertical-relative:paragraph;z-index:-251633664;mso-wrap-distance-left:0;mso-wrap-distance-right:0" type="#_x0000_t202" filled="true" fillcolor="#f4f6f8" stroked="false">
            <v:textbox inset="0,0,0,0">
              <w:txbxContent>
                <w:p>
                  <w:pPr>
                    <w:pStyle w:val="BodyText"/>
                    <w:spacing w:line="268" w:lineRule="exact"/>
                    <w:ind w:left="129"/>
                  </w:pPr>
                  <w:r>
                    <w:rPr>
                      <w:color w:val="1A3556"/>
                    </w:rPr>
                    <w:t>A-10 – Área social – Centro de Adultos Hermano Pedro</w:t>
                  </w:r>
                </w:p>
              </w:txbxContent>
            </v:textbox>
            <v:fill type="solid"/>
            <w10:wrap type="topAndBottom"/>
          </v:shape>
        </w:pict>
      </w:r>
    </w:p>
    <w:p>
      <w:pPr>
        <w:spacing w:line="240" w:lineRule="auto" w:before="3" w:after="0"/>
        <w:rPr>
          <w:sz w:val="5"/>
        </w:rPr>
      </w:pPr>
    </w:p>
    <w:tbl>
      <w:tblPr>
        <w:tblW w:w="0" w:type="auto"/>
        <w:jc w:val="left"/>
        <w:tblInd w:w="79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474" w:hRule="atLeast"/>
        </w:trPr>
        <w:tc>
          <w:tcPr>
            <w:tcW w:w="2802" w:type="dxa"/>
            <w:shd w:val="clear" w:color="auto" w:fill="C7DCEF"/>
          </w:tcPr>
          <w:p>
            <w:pPr>
              <w:pStyle w:val="TableParagraph"/>
              <w:spacing w:before="9"/>
              <w:ind w:left="132"/>
              <w:rPr>
                <w:b/>
                <w:sz w:val="16"/>
              </w:rPr>
            </w:pPr>
            <w:r>
              <w:rPr>
                <w:b/>
                <w:color w:val="1A3556"/>
                <w:sz w:val="16"/>
              </w:rPr>
              <w:t>Código</w:t>
            </w:r>
          </w:p>
        </w:tc>
        <w:tc>
          <w:tcPr>
            <w:tcW w:w="6560" w:type="dxa"/>
            <w:tcBorders>
              <w:top w:val="single" w:sz="34" w:space="0" w:color="FFFFFF"/>
            </w:tcBorders>
          </w:tcPr>
          <w:p>
            <w:pPr>
              <w:pStyle w:val="TableParagraph"/>
              <w:spacing w:line="217" w:lineRule="exact"/>
              <w:rPr>
                <w:sz w:val="18"/>
              </w:rPr>
            </w:pPr>
            <w:r>
              <w:rPr>
                <w:color w:val="1A1A2D"/>
                <w:sz w:val="18"/>
              </w:rPr>
              <w:t>A-10</w:t>
            </w:r>
          </w:p>
        </w:tc>
      </w:tr>
      <w:tr>
        <w:trPr>
          <w:trHeight w:val="553" w:hRule="atLeast"/>
        </w:trPr>
        <w:tc>
          <w:tcPr>
            <w:tcW w:w="2802" w:type="dxa"/>
            <w:shd w:val="clear" w:color="auto" w:fill="C7DCEF"/>
          </w:tcPr>
          <w:p>
            <w:pPr>
              <w:pStyle w:val="TableParagraph"/>
              <w:spacing w:before="88"/>
              <w:ind w:left="132"/>
              <w:rPr>
                <w:b/>
                <w:sz w:val="16"/>
              </w:rPr>
            </w:pPr>
            <w:r>
              <w:rPr>
                <w:b/>
                <w:color w:val="1A3556"/>
                <w:sz w:val="16"/>
              </w:rPr>
              <w:t>Nombre del tratamiento</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Área social – Centro de Adultos Hermano Pedro</w:t>
            </w:r>
          </w:p>
        </w:tc>
      </w:tr>
      <w:tr>
        <w:trPr>
          <w:trHeight w:val="475" w:hRule="atLeast"/>
        </w:trPr>
        <w:tc>
          <w:tcPr>
            <w:tcW w:w="2802" w:type="dxa"/>
            <w:shd w:val="clear" w:color="auto" w:fill="C7DCEF"/>
          </w:tcPr>
          <w:p>
            <w:pPr>
              <w:pStyle w:val="TableParagraph"/>
              <w:spacing w:before="9"/>
              <w:ind w:left="132"/>
              <w:rPr>
                <w:b/>
                <w:sz w:val="16"/>
              </w:rPr>
            </w:pPr>
            <w:r>
              <w:rPr>
                <w:b/>
                <w:color w:val="1A3556"/>
                <w:sz w:val="16"/>
              </w:rPr>
              <w:t>Rol de FUCAS</w:t>
            </w:r>
          </w:p>
        </w:tc>
        <w:tc>
          <w:tcPr>
            <w:tcW w:w="6560" w:type="dxa"/>
            <w:tcBorders>
              <w:top w:val="single" w:sz="34" w:space="0" w:color="FFFFFF"/>
            </w:tcBorders>
          </w:tcPr>
          <w:p>
            <w:pPr>
              <w:pStyle w:val="TableParagraph"/>
              <w:spacing w:line="217" w:lineRule="exact"/>
              <w:rPr>
                <w:sz w:val="18"/>
              </w:rPr>
            </w:pPr>
            <w:r>
              <w:rPr>
                <w:color w:val="1A1A2D"/>
                <w:sz w:val="18"/>
              </w:rPr>
              <w:t>RESPONSABLE</w:t>
            </w:r>
          </w:p>
        </w:tc>
      </w:tr>
      <w:tr>
        <w:trPr>
          <w:trHeight w:val="1026" w:hRule="atLeast"/>
        </w:trPr>
        <w:tc>
          <w:tcPr>
            <w:tcW w:w="2802" w:type="dxa"/>
            <w:shd w:val="clear" w:color="auto" w:fill="C7DCEF"/>
          </w:tcPr>
          <w:p>
            <w:pPr>
              <w:pStyle w:val="TableParagraph"/>
              <w:ind w:left="0"/>
              <w:rPr>
                <w:sz w:val="16"/>
              </w:rPr>
            </w:pPr>
          </w:p>
          <w:p>
            <w:pPr>
              <w:pStyle w:val="TableParagraph"/>
              <w:spacing w:before="131"/>
              <w:ind w:left="132"/>
              <w:rPr>
                <w:b/>
                <w:sz w:val="16"/>
              </w:rPr>
            </w:pPr>
            <w:r>
              <w:rPr>
                <w:b/>
                <w:color w:val="1A3556"/>
                <w:sz w:val="16"/>
              </w:rPr>
              <w:t>Finalidad del tratamiento</w:t>
            </w:r>
          </w:p>
        </w:tc>
        <w:tc>
          <w:tcPr>
            <w:tcW w:w="6560" w:type="dxa"/>
            <w:tcBorders>
              <w:bottom w:val="single" w:sz="34" w:space="0" w:color="FFFFFF"/>
            </w:tcBorders>
            <w:shd w:val="clear" w:color="auto" w:fill="F4F6F8"/>
          </w:tcPr>
          <w:p>
            <w:pPr>
              <w:pStyle w:val="TableParagraph"/>
              <w:spacing w:line="256" w:lineRule="auto" w:before="79"/>
              <w:ind w:right="132"/>
              <w:rPr>
                <w:sz w:val="18"/>
              </w:rPr>
            </w:pPr>
            <w:r>
              <w:rPr>
                <w:color w:val="1A1A2D"/>
                <w:sz w:val="18"/>
              </w:rPr>
              <w:t>Gestión de todas las actividades del área social del Centro Hermano Pedro: coordinación de recursos sociales, gestión de contactos con redes de apoyo familiar, actividades de inserción comunitaria e informes de trabajo social.</w:t>
            </w:r>
          </w:p>
        </w:tc>
      </w:tr>
      <w:tr>
        <w:trPr>
          <w:trHeight w:val="712" w:hRule="atLeast"/>
        </w:trPr>
        <w:tc>
          <w:tcPr>
            <w:tcW w:w="2802" w:type="dxa"/>
            <w:shd w:val="clear" w:color="auto" w:fill="C7DCEF"/>
          </w:tcPr>
          <w:p>
            <w:pPr>
              <w:pStyle w:val="TableParagraph"/>
              <w:spacing w:before="129"/>
              <w:ind w:left="132"/>
              <w:rPr>
                <w:b/>
                <w:sz w:val="16"/>
              </w:rPr>
            </w:pPr>
            <w:r>
              <w:rPr>
                <w:b/>
                <w:color w:val="1A3556"/>
                <w:sz w:val="16"/>
              </w:rPr>
              <w:t>Base jurídica</w:t>
            </w:r>
          </w:p>
        </w:tc>
        <w:tc>
          <w:tcPr>
            <w:tcW w:w="6560" w:type="dxa"/>
            <w:tcBorders>
              <w:top w:val="single" w:sz="34" w:space="0" w:color="FFFFFF"/>
            </w:tcBorders>
          </w:tcPr>
          <w:p>
            <w:pPr>
              <w:pStyle w:val="TableParagraph"/>
              <w:spacing w:line="256" w:lineRule="auto"/>
              <w:ind w:right="308"/>
              <w:rPr>
                <w:sz w:val="18"/>
              </w:rPr>
            </w:pPr>
            <w:r>
              <w:rPr>
                <w:color w:val="1A1A2D"/>
                <w:sz w:val="18"/>
              </w:rPr>
              <w:t>Art. 6.1.c) RGPD – Obligación legal; art. 9.2.b) RGPD. LAPAD; Decreto 131/2011; Ley 2/1998 de Fundaciones Canarias.</w:t>
            </w:r>
          </w:p>
        </w:tc>
      </w:tr>
      <w:tr>
        <w:trPr>
          <w:trHeight w:val="1029" w:hRule="atLeast"/>
        </w:trPr>
        <w:tc>
          <w:tcPr>
            <w:tcW w:w="2802" w:type="dxa"/>
            <w:shd w:val="clear" w:color="auto" w:fill="C7DCEF"/>
          </w:tcPr>
          <w:p>
            <w:pPr>
              <w:pStyle w:val="TableParagraph"/>
              <w:ind w:left="0"/>
              <w:rPr>
                <w:sz w:val="16"/>
              </w:rPr>
            </w:pPr>
          </w:p>
          <w:p>
            <w:pPr>
              <w:pStyle w:val="TableParagraph"/>
              <w:spacing w:before="131"/>
              <w:ind w:left="132"/>
              <w:rPr>
                <w:b/>
                <w:sz w:val="16"/>
              </w:rPr>
            </w:pPr>
            <w:r>
              <w:rPr>
                <w:b/>
                <w:color w:val="1A3556"/>
                <w:sz w:val="16"/>
              </w:rPr>
              <w:t>Categorías de datos personales</w:t>
            </w:r>
          </w:p>
        </w:tc>
        <w:tc>
          <w:tcPr>
            <w:tcW w:w="6560" w:type="dxa"/>
            <w:tcBorders>
              <w:bottom w:val="single" w:sz="34" w:space="0" w:color="FFFFFF"/>
            </w:tcBorders>
            <w:shd w:val="clear" w:color="auto" w:fill="F4F6F8"/>
          </w:tcPr>
          <w:p>
            <w:pPr>
              <w:pStyle w:val="TableParagraph"/>
              <w:spacing w:line="259" w:lineRule="auto" w:before="79"/>
              <w:rPr>
                <w:sz w:val="18"/>
              </w:rPr>
            </w:pPr>
            <w:r>
              <w:rPr>
                <w:color w:val="1A1A2D"/>
                <w:sz w:val="18"/>
              </w:rPr>
              <w:t>CATEGORÍAS ESPECIALES: Datos de salud (informes médicos, dictámenes, informes sociales). Datos ordinarios: identificativos (nombre, DNI, dirección, tarjeta sanitaria); características personales; datos de formación y actividades.</w:t>
            </w:r>
          </w:p>
        </w:tc>
      </w:tr>
      <w:tr>
        <w:trPr>
          <w:trHeight w:val="472" w:hRule="atLeast"/>
        </w:trPr>
        <w:tc>
          <w:tcPr>
            <w:tcW w:w="2802" w:type="dxa"/>
            <w:shd w:val="clear" w:color="auto" w:fill="C7DCEF"/>
          </w:tcPr>
          <w:p>
            <w:pPr>
              <w:pStyle w:val="TableParagraph"/>
              <w:spacing w:before="9"/>
              <w:ind w:left="132"/>
              <w:rPr>
                <w:b/>
                <w:sz w:val="16"/>
              </w:rPr>
            </w:pPr>
            <w:r>
              <w:rPr>
                <w:b/>
                <w:color w:val="1A3556"/>
                <w:sz w:val="16"/>
              </w:rPr>
              <w:t>Colectivos de interesados</w:t>
            </w:r>
          </w:p>
        </w:tc>
        <w:tc>
          <w:tcPr>
            <w:tcW w:w="6560" w:type="dxa"/>
            <w:tcBorders>
              <w:top w:val="single" w:sz="34" w:space="0" w:color="FFFFFF"/>
            </w:tcBorders>
          </w:tcPr>
          <w:p>
            <w:pPr>
              <w:pStyle w:val="TableParagraph"/>
              <w:spacing w:line="217" w:lineRule="exact"/>
              <w:rPr>
                <w:sz w:val="18"/>
              </w:rPr>
            </w:pPr>
            <w:r>
              <w:rPr>
                <w:color w:val="1A1A2D"/>
                <w:sz w:val="18"/>
              </w:rPr>
              <w:t>Personas usuarias del centro; familiares y representantes legales.</w:t>
            </w:r>
          </w:p>
        </w:tc>
      </w:tr>
      <w:tr>
        <w:trPr>
          <w:trHeight w:val="791" w:hRule="atLeast"/>
        </w:trPr>
        <w:tc>
          <w:tcPr>
            <w:tcW w:w="2802" w:type="dxa"/>
            <w:shd w:val="clear" w:color="auto" w:fill="C7DCEF"/>
          </w:tcPr>
          <w:p>
            <w:pPr>
              <w:pStyle w:val="TableParagraph"/>
              <w:spacing w:before="4"/>
              <w:ind w:left="0"/>
              <w:rPr>
                <w:sz w:val="17"/>
              </w:rPr>
            </w:pPr>
          </w:p>
          <w:p>
            <w:pPr>
              <w:pStyle w:val="TableParagraph"/>
              <w:ind w:left="132"/>
              <w:rPr>
                <w:b/>
                <w:sz w:val="16"/>
              </w:rPr>
            </w:pPr>
            <w:r>
              <w:rPr>
                <w:b/>
                <w:color w:val="1A3556"/>
                <w:sz w:val="16"/>
              </w:rPr>
              <w:t>Destinatarios / Cesionarios</w:t>
            </w:r>
          </w:p>
        </w:tc>
        <w:tc>
          <w:tcPr>
            <w:tcW w:w="6560" w:type="dxa"/>
            <w:tcBorders>
              <w:bottom w:val="single" w:sz="34" w:space="0" w:color="FFFFFF"/>
            </w:tcBorders>
            <w:shd w:val="clear" w:color="auto" w:fill="F4F6F8"/>
          </w:tcPr>
          <w:p>
            <w:pPr>
              <w:pStyle w:val="TableParagraph"/>
              <w:spacing w:line="254" w:lineRule="auto" w:before="81"/>
              <w:ind w:right="751"/>
              <w:rPr>
                <w:sz w:val="18"/>
              </w:rPr>
            </w:pPr>
            <w:r>
              <w:rPr>
                <w:color w:val="1A1A2D"/>
                <w:sz w:val="18"/>
              </w:rPr>
              <w:t>Gobierno de Canarias; Cabildo de Tenerife; Servicio Canario de Salud; centros ocupacionales; Juzgados y Tribunales de Canarias.</w:t>
            </w:r>
          </w:p>
        </w:tc>
      </w:tr>
      <w:tr>
        <w:trPr>
          <w:trHeight w:val="474" w:hRule="atLeast"/>
        </w:trPr>
        <w:tc>
          <w:tcPr>
            <w:tcW w:w="2802" w:type="dxa"/>
            <w:shd w:val="clear" w:color="auto" w:fill="C7DCEF"/>
          </w:tcPr>
          <w:p>
            <w:pPr>
              <w:pStyle w:val="TableParagraph"/>
              <w:spacing w:before="11"/>
              <w:ind w:left="132"/>
              <w:rPr>
                <w:b/>
                <w:sz w:val="16"/>
              </w:rPr>
            </w:pPr>
            <w:r>
              <w:rPr>
                <w:b/>
                <w:color w:val="1A3556"/>
                <w:sz w:val="16"/>
              </w:rPr>
              <w:t>Plazo de conservación</w:t>
            </w:r>
          </w:p>
        </w:tc>
        <w:tc>
          <w:tcPr>
            <w:tcW w:w="6560" w:type="dxa"/>
            <w:tcBorders>
              <w:top w:val="single" w:sz="34" w:space="0" w:color="FFFFFF"/>
            </w:tcBorders>
          </w:tcPr>
          <w:p>
            <w:pPr>
              <w:pStyle w:val="TableParagraph"/>
              <w:spacing w:line="217" w:lineRule="exact"/>
              <w:rPr>
                <w:sz w:val="18"/>
              </w:rPr>
            </w:pPr>
            <w:r>
              <w:rPr>
                <w:color w:val="1A1A2D"/>
                <w:sz w:val="18"/>
              </w:rPr>
              <w:t>Informes sociales: 10 años. Restantes datos de gestión: 5 años tras el alta.</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Transferencias internacionales</w:t>
            </w:r>
          </w:p>
        </w:tc>
        <w:tc>
          <w:tcPr>
            <w:tcW w:w="6560" w:type="dxa"/>
            <w:shd w:val="clear" w:color="auto" w:fill="F4F6F8"/>
          </w:tcPr>
          <w:p>
            <w:pPr>
              <w:pStyle w:val="TableParagraph"/>
              <w:spacing w:before="77"/>
              <w:rPr>
                <w:sz w:val="18"/>
              </w:rPr>
            </w:pPr>
            <w:r>
              <w:rPr>
                <w:color w:val="1A1A2D"/>
                <w:sz w:val="18"/>
              </w:rPr>
              <w:t>No se realizan transferencias internacionales de datos personales.</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2"/>
        <w:rPr>
          <w:sz w:val="16"/>
        </w:rPr>
      </w:pPr>
    </w:p>
    <w:p>
      <w:pPr>
        <w:spacing w:before="0"/>
        <w:ind w:left="906" w:right="261" w:firstLine="0"/>
        <w:jc w:val="center"/>
        <w:rPr>
          <w:sz w:val="22"/>
        </w:rPr>
      </w:pPr>
      <w:r>
        <w:rPr>
          <w:color w:val="4471C4"/>
          <w:sz w:val="22"/>
        </w:rPr>
        <w:t>14</w:t>
      </w:r>
    </w:p>
    <w:p>
      <w:pPr>
        <w:spacing w:after="0"/>
        <w:jc w:val="center"/>
        <w:rPr>
          <w:sz w:val="22"/>
        </w:rPr>
        <w:sectPr>
          <w:pgSz w:w="11910" w:h="16840"/>
          <w:pgMar w:top="1580" w:bottom="280" w:left="340" w:right="420"/>
        </w:sectPr>
      </w:pPr>
    </w:p>
    <w:p>
      <w:pPr>
        <w:spacing w:line="240" w:lineRule="auto" w:before="0"/>
        <w:rPr>
          <w:sz w:val="20"/>
        </w:rPr>
      </w:pPr>
      <w:r>
        <w:rPr/>
        <w:pict>
          <v:group style="position:absolute;margin-left:.000009pt;margin-top:36.832428pt;width:559.9pt;height:765.7pt;mso-position-horizontal-relative:page;mso-position-vertical-relative:page;z-index:-254796800" coordorigin="0,737" coordsize="11198,15314">
            <v:shape style="position:absolute;left:0;top:736;width:11198;height:15314" type="#_x0000_t75" stroked="false">
              <v:imagedata r:id="rId5" o:title=""/>
            </v:shape>
            <v:line style="position:absolute" from="1085,5124" to="1085,5415" stroked="true" strokeweight="1.92pt" strokecolor="#1a3556">
              <v:stroke dashstyle="solid"/>
            </v:line>
            <w10:wrap type="none"/>
          </v:group>
        </w:pict>
      </w:r>
    </w:p>
    <w:p>
      <w:pPr>
        <w:spacing w:line="240" w:lineRule="auto" w:before="0"/>
        <w:rPr>
          <w:sz w:val="20"/>
        </w:rPr>
      </w:pPr>
    </w:p>
    <w:p>
      <w:pPr>
        <w:spacing w:line="240" w:lineRule="auto" w:before="10" w:after="1"/>
        <w:rPr>
          <w:sz w:val="14"/>
        </w:rPr>
      </w:pPr>
    </w:p>
    <w:tbl>
      <w:tblPr>
        <w:tblW w:w="0" w:type="auto"/>
        <w:jc w:val="left"/>
        <w:tblInd w:w="79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712" w:hRule="atLeast"/>
        </w:trPr>
        <w:tc>
          <w:tcPr>
            <w:tcW w:w="2802" w:type="dxa"/>
            <w:shd w:val="clear" w:color="auto" w:fill="C7DCEF"/>
          </w:tcPr>
          <w:p>
            <w:pPr>
              <w:pStyle w:val="TableParagraph"/>
              <w:spacing w:line="256" w:lineRule="auto" w:before="26"/>
              <w:ind w:left="132" w:right="267"/>
              <w:rPr>
                <w:b/>
                <w:sz w:val="16"/>
              </w:rPr>
            </w:pPr>
            <w:r>
              <w:rPr>
                <w:b/>
                <w:color w:val="1A3556"/>
                <w:sz w:val="16"/>
              </w:rPr>
              <w:t>Medidas técnicas y organizativas de seguridad</w:t>
            </w:r>
          </w:p>
        </w:tc>
        <w:tc>
          <w:tcPr>
            <w:tcW w:w="6560" w:type="dxa"/>
            <w:tcBorders>
              <w:top w:val="single" w:sz="34" w:space="0" w:color="FFFFFF"/>
            </w:tcBorders>
          </w:tcPr>
          <w:p>
            <w:pPr>
              <w:pStyle w:val="TableParagraph"/>
              <w:spacing w:line="256" w:lineRule="auto"/>
              <w:rPr>
                <w:sz w:val="18"/>
              </w:rPr>
            </w:pPr>
            <w:r>
              <w:rPr>
                <w:color w:val="1A1A2D"/>
                <w:sz w:val="18"/>
              </w:rPr>
              <w:t>Acceso restringido a las trabajadoras/es sociales del centro; secreto profesional; medidas ENS RD 311/2022.</w:t>
            </w:r>
          </w:p>
        </w:tc>
      </w:tr>
      <w:tr>
        <w:trPr>
          <w:trHeight w:val="554" w:hRule="atLeast"/>
        </w:trPr>
        <w:tc>
          <w:tcPr>
            <w:tcW w:w="2802" w:type="dxa"/>
            <w:shd w:val="clear" w:color="auto" w:fill="C7DCEF"/>
          </w:tcPr>
          <w:p>
            <w:pPr>
              <w:pStyle w:val="TableParagraph"/>
              <w:spacing w:before="88"/>
              <w:ind w:left="132"/>
              <w:rPr>
                <w:b/>
                <w:sz w:val="16"/>
              </w:rPr>
            </w:pPr>
            <w:r>
              <w:rPr>
                <w:b/>
                <w:color w:val="1A3556"/>
                <w:sz w:val="16"/>
              </w:rPr>
              <w:t>Encargados del tratamiento</w:t>
            </w:r>
          </w:p>
        </w:tc>
        <w:tc>
          <w:tcPr>
            <w:tcW w:w="6560" w:type="dxa"/>
            <w:shd w:val="clear" w:color="auto" w:fill="F4F6F8"/>
          </w:tcPr>
          <w:p>
            <w:pPr>
              <w:pStyle w:val="TableParagraph"/>
              <w:spacing w:before="77"/>
              <w:rPr>
                <w:sz w:val="18"/>
              </w:rPr>
            </w:pPr>
            <w:r>
              <w:rPr>
                <w:color w:val="1A1A2D"/>
                <w:sz w:val="18"/>
              </w:rPr>
              <w:t>No aplica.</w:t>
            </w:r>
          </w:p>
        </w:tc>
      </w:tr>
      <w:tr>
        <w:trPr>
          <w:trHeight w:val="554" w:hRule="atLeast"/>
        </w:trPr>
        <w:tc>
          <w:tcPr>
            <w:tcW w:w="2802" w:type="dxa"/>
            <w:shd w:val="clear" w:color="auto" w:fill="C7DCEF"/>
          </w:tcPr>
          <w:p>
            <w:pPr>
              <w:pStyle w:val="TableParagraph"/>
              <w:spacing w:before="88"/>
              <w:ind w:left="132"/>
              <w:rPr>
                <w:b/>
                <w:sz w:val="16"/>
              </w:rPr>
            </w:pPr>
            <w:r>
              <w:rPr>
                <w:b/>
                <w:color w:val="1A3556"/>
                <w:sz w:val="16"/>
              </w:rPr>
              <w:t>Nivel de riesgo / EIPD</w:t>
            </w:r>
          </w:p>
        </w:tc>
        <w:tc>
          <w:tcPr>
            <w:tcW w:w="6560" w:type="dxa"/>
            <w:shd w:val="clear" w:color="auto" w:fill="FFEDDD"/>
          </w:tcPr>
          <w:p>
            <w:pPr>
              <w:pStyle w:val="TableParagraph"/>
              <w:spacing w:before="77"/>
              <w:rPr>
                <w:sz w:val="18"/>
              </w:rPr>
            </w:pPr>
            <w:r>
              <w:rPr>
                <w:color w:val="1A1A2D"/>
                <w:sz w:val="18"/>
              </w:rPr>
              <w:t>ALTO – Datos de salud y situación social de personas vulnerables.</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1"/>
        <w:rPr>
          <w:sz w:val="14"/>
        </w:rPr>
      </w:pPr>
      <w:r>
        <w:rPr/>
        <w:pict>
          <v:shape style="position:absolute;margin-left:55.200001pt;margin-top:10.298906pt;width:513.25pt;height:14.55pt;mso-position-horizontal-relative:page;mso-position-vertical-relative:paragraph;z-index:-251631616;mso-wrap-distance-left:0;mso-wrap-distance-right:0" type="#_x0000_t202" filled="true" fillcolor="#f4f6f8" stroked="false">
            <v:textbox inset="0,0,0,0">
              <w:txbxContent>
                <w:p>
                  <w:pPr>
                    <w:pStyle w:val="BodyText"/>
                    <w:spacing w:line="268" w:lineRule="exact"/>
                    <w:ind w:left="129"/>
                  </w:pPr>
                  <w:r>
                    <w:rPr>
                      <w:color w:val="1A3556"/>
                    </w:rPr>
                    <w:t>A-11 – Área de salud (gestión de citas médicas) – Centro de Adultos Hermano Pedro</w:t>
                  </w:r>
                </w:p>
              </w:txbxContent>
            </v:textbox>
            <v:fill type="solid"/>
            <w10:wrap type="topAndBottom"/>
          </v:shape>
        </w:pict>
      </w:r>
    </w:p>
    <w:p>
      <w:pPr>
        <w:spacing w:line="240" w:lineRule="auto" w:before="3" w:after="0"/>
        <w:rPr>
          <w:sz w:val="5"/>
        </w:rPr>
      </w:pPr>
    </w:p>
    <w:tbl>
      <w:tblPr>
        <w:tblW w:w="0" w:type="auto"/>
        <w:jc w:val="left"/>
        <w:tblInd w:w="79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554" w:hRule="atLeast"/>
        </w:trPr>
        <w:tc>
          <w:tcPr>
            <w:tcW w:w="2802" w:type="dxa"/>
            <w:shd w:val="clear" w:color="auto" w:fill="C7DCEF"/>
          </w:tcPr>
          <w:p>
            <w:pPr>
              <w:pStyle w:val="TableParagraph"/>
              <w:spacing w:before="91"/>
              <w:ind w:left="132"/>
              <w:rPr>
                <w:b/>
                <w:sz w:val="16"/>
              </w:rPr>
            </w:pPr>
            <w:r>
              <w:rPr>
                <w:b/>
                <w:color w:val="1A3556"/>
                <w:sz w:val="16"/>
              </w:rPr>
              <w:t>Código</w:t>
            </w:r>
          </w:p>
        </w:tc>
        <w:tc>
          <w:tcPr>
            <w:tcW w:w="6560" w:type="dxa"/>
          </w:tcPr>
          <w:p>
            <w:pPr>
              <w:pStyle w:val="TableParagraph"/>
              <w:spacing w:before="77"/>
              <w:rPr>
                <w:sz w:val="18"/>
              </w:rPr>
            </w:pPr>
            <w:r>
              <w:rPr>
                <w:color w:val="1A1A2D"/>
                <w:sz w:val="18"/>
              </w:rPr>
              <w:t>A-11</w:t>
            </w:r>
          </w:p>
        </w:tc>
      </w:tr>
      <w:tr>
        <w:trPr>
          <w:trHeight w:val="553" w:hRule="atLeast"/>
        </w:trPr>
        <w:tc>
          <w:tcPr>
            <w:tcW w:w="2802" w:type="dxa"/>
            <w:shd w:val="clear" w:color="auto" w:fill="C7DCEF"/>
          </w:tcPr>
          <w:p>
            <w:pPr>
              <w:pStyle w:val="TableParagraph"/>
              <w:spacing w:before="91"/>
              <w:ind w:left="132"/>
              <w:rPr>
                <w:b/>
                <w:sz w:val="16"/>
              </w:rPr>
            </w:pPr>
            <w:r>
              <w:rPr>
                <w:b/>
                <w:color w:val="1A3556"/>
                <w:sz w:val="16"/>
              </w:rPr>
              <w:t>Nombre del tratamiento</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Área de salud (gestión de citas médicas) – Centro de Adultos Hermano Pedro</w:t>
            </w:r>
          </w:p>
        </w:tc>
      </w:tr>
      <w:tr>
        <w:trPr>
          <w:trHeight w:val="474" w:hRule="atLeast"/>
        </w:trPr>
        <w:tc>
          <w:tcPr>
            <w:tcW w:w="2802" w:type="dxa"/>
            <w:shd w:val="clear" w:color="auto" w:fill="C7DCEF"/>
          </w:tcPr>
          <w:p>
            <w:pPr>
              <w:pStyle w:val="TableParagraph"/>
              <w:spacing w:before="11"/>
              <w:ind w:left="132"/>
              <w:rPr>
                <w:b/>
                <w:sz w:val="16"/>
              </w:rPr>
            </w:pPr>
            <w:r>
              <w:rPr>
                <w:b/>
                <w:color w:val="1A3556"/>
                <w:sz w:val="16"/>
              </w:rPr>
              <w:t>Rol de FUCAS</w:t>
            </w:r>
          </w:p>
        </w:tc>
        <w:tc>
          <w:tcPr>
            <w:tcW w:w="6560" w:type="dxa"/>
            <w:tcBorders>
              <w:top w:val="single" w:sz="34" w:space="0" w:color="FFFFFF"/>
            </w:tcBorders>
          </w:tcPr>
          <w:p>
            <w:pPr>
              <w:pStyle w:val="TableParagraph"/>
              <w:spacing w:line="217" w:lineRule="exact"/>
              <w:rPr>
                <w:sz w:val="18"/>
              </w:rPr>
            </w:pPr>
            <w:r>
              <w:rPr>
                <w:color w:val="1A1A2D"/>
                <w:sz w:val="18"/>
              </w:rPr>
              <w:t>RESPONSABLE</w:t>
            </w:r>
          </w:p>
        </w:tc>
      </w:tr>
      <w:tr>
        <w:trPr>
          <w:trHeight w:val="1028" w:hRule="atLeast"/>
        </w:trPr>
        <w:tc>
          <w:tcPr>
            <w:tcW w:w="2802" w:type="dxa"/>
            <w:shd w:val="clear" w:color="auto" w:fill="C7DCEF"/>
          </w:tcPr>
          <w:p>
            <w:pPr>
              <w:pStyle w:val="TableParagraph"/>
              <w:ind w:left="0"/>
              <w:rPr>
                <w:sz w:val="16"/>
              </w:rPr>
            </w:pPr>
          </w:p>
          <w:p>
            <w:pPr>
              <w:pStyle w:val="TableParagraph"/>
              <w:spacing w:before="133"/>
              <w:ind w:left="132"/>
              <w:rPr>
                <w:b/>
                <w:sz w:val="16"/>
              </w:rPr>
            </w:pPr>
            <w:r>
              <w:rPr>
                <w:b/>
                <w:color w:val="1A3556"/>
                <w:sz w:val="16"/>
              </w:rPr>
              <w:t>Finalidad del tratamiento</w:t>
            </w:r>
          </w:p>
        </w:tc>
        <w:tc>
          <w:tcPr>
            <w:tcW w:w="6560" w:type="dxa"/>
            <w:tcBorders>
              <w:bottom w:val="single" w:sz="34" w:space="0" w:color="FFFFFF"/>
            </w:tcBorders>
            <w:shd w:val="clear" w:color="auto" w:fill="F4F6F8"/>
          </w:tcPr>
          <w:p>
            <w:pPr>
              <w:pStyle w:val="TableParagraph"/>
              <w:spacing w:line="259" w:lineRule="auto" w:before="79"/>
              <w:ind w:right="325"/>
              <w:rPr>
                <w:sz w:val="18"/>
              </w:rPr>
            </w:pPr>
            <w:r>
              <w:rPr>
                <w:color w:val="1A1A2D"/>
                <w:sz w:val="18"/>
              </w:rPr>
              <w:t>Gestión y administración de citas médicas de las personas usuarias del Centro Hermano Pedro: coordinación de consultas externas, seguimiento de tratamientos, comunicación con el Servicio Canario de Salud y control de medicación.</w:t>
            </w:r>
          </w:p>
        </w:tc>
      </w:tr>
      <w:tr>
        <w:trPr>
          <w:trHeight w:val="709" w:hRule="atLeast"/>
        </w:trPr>
        <w:tc>
          <w:tcPr>
            <w:tcW w:w="2802" w:type="dxa"/>
            <w:shd w:val="clear" w:color="auto" w:fill="C7DCEF"/>
          </w:tcPr>
          <w:p>
            <w:pPr>
              <w:pStyle w:val="TableParagraph"/>
              <w:spacing w:before="129"/>
              <w:ind w:left="132"/>
              <w:rPr>
                <w:b/>
                <w:sz w:val="16"/>
              </w:rPr>
            </w:pPr>
            <w:r>
              <w:rPr>
                <w:b/>
                <w:color w:val="1A3556"/>
                <w:sz w:val="16"/>
              </w:rPr>
              <w:t>Base jurídica</w:t>
            </w:r>
          </w:p>
        </w:tc>
        <w:tc>
          <w:tcPr>
            <w:tcW w:w="6560" w:type="dxa"/>
            <w:tcBorders>
              <w:top w:val="single" w:sz="34" w:space="0" w:color="FFFFFF"/>
            </w:tcBorders>
          </w:tcPr>
          <w:p>
            <w:pPr>
              <w:pStyle w:val="TableParagraph"/>
              <w:spacing w:line="256" w:lineRule="auto"/>
              <w:ind w:right="715"/>
              <w:rPr>
                <w:sz w:val="18"/>
              </w:rPr>
            </w:pPr>
            <w:r>
              <w:rPr>
                <w:color w:val="1A1A2D"/>
                <w:sz w:val="18"/>
              </w:rPr>
              <w:t>Art. 6.1.c) RGPD – Obligación legal; art. 9.2.h) RGPD – prestación de asistencia sanitaria. LAPAD; Ley 14/1986 General de Sanidad; Decreto 131/2011.</w:t>
            </w:r>
          </w:p>
        </w:tc>
      </w:tr>
      <w:tr>
        <w:trPr>
          <w:trHeight w:val="1267" w:hRule="atLeast"/>
        </w:trPr>
        <w:tc>
          <w:tcPr>
            <w:tcW w:w="2802" w:type="dxa"/>
            <w:shd w:val="clear" w:color="auto" w:fill="C7DCEF"/>
          </w:tcPr>
          <w:p>
            <w:pPr>
              <w:pStyle w:val="TableParagraph"/>
              <w:ind w:left="0"/>
              <w:rPr>
                <w:sz w:val="16"/>
              </w:rPr>
            </w:pPr>
          </w:p>
          <w:p>
            <w:pPr>
              <w:pStyle w:val="TableParagraph"/>
              <w:spacing w:before="7"/>
              <w:ind w:left="0"/>
              <w:rPr>
                <w:sz w:val="20"/>
              </w:rPr>
            </w:pPr>
          </w:p>
          <w:p>
            <w:pPr>
              <w:pStyle w:val="TableParagraph"/>
              <w:ind w:left="132"/>
              <w:rPr>
                <w:b/>
                <w:sz w:val="16"/>
              </w:rPr>
            </w:pPr>
            <w:r>
              <w:rPr>
                <w:b/>
                <w:color w:val="1A3556"/>
                <w:sz w:val="16"/>
              </w:rPr>
              <w:t>Categorías de datos personales</w:t>
            </w:r>
          </w:p>
        </w:tc>
        <w:tc>
          <w:tcPr>
            <w:tcW w:w="6560" w:type="dxa"/>
            <w:shd w:val="clear" w:color="auto" w:fill="F4F6F8"/>
          </w:tcPr>
          <w:p>
            <w:pPr>
              <w:pStyle w:val="TableParagraph"/>
              <w:spacing w:line="256" w:lineRule="auto" w:before="81"/>
              <w:rPr>
                <w:sz w:val="18"/>
              </w:rPr>
            </w:pPr>
            <w:r>
              <w:rPr>
                <w:color w:val="1A1A2D"/>
                <w:sz w:val="18"/>
              </w:rPr>
              <w:t>CATEGORÍAS ESPECIALES: Datos de salud (informes médicos, dictámenes técnicos, resolución de dependencia, historial clínico, medicación, citas médicas). Datos ordinarios: identificativos (nombre, DNI, dirección, tarjeta sanitaria); características personales.</w:t>
            </w:r>
          </w:p>
        </w:tc>
      </w:tr>
      <w:tr>
        <w:trPr>
          <w:trHeight w:val="554" w:hRule="atLeast"/>
        </w:trPr>
        <w:tc>
          <w:tcPr>
            <w:tcW w:w="2802" w:type="dxa"/>
            <w:shd w:val="clear" w:color="auto" w:fill="C7DCEF"/>
          </w:tcPr>
          <w:p>
            <w:pPr>
              <w:pStyle w:val="TableParagraph"/>
              <w:spacing w:before="88"/>
              <w:ind w:left="132"/>
              <w:rPr>
                <w:b/>
                <w:sz w:val="16"/>
              </w:rPr>
            </w:pPr>
            <w:r>
              <w:rPr>
                <w:b/>
                <w:color w:val="1A3556"/>
                <w:sz w:val="16"/>
              </w:rPr>
              <w:t>Colectivos de interesados</w:t>
            </w:r>
          </w:p>
        </w:tc>
        <w:tc>
          <w:tcPr>
            <w:tcW w:w="6560" w:type="dxa"/>
          </w:tcPr>
          <w:p>
            <w:pPr>
              <w:pStyle w:val="TableParagraph"/>
              <w:spacing w:before="77"/>
              <w:rPr>
                <w:sz w:val="18"/>
              </w:rPr>
            </w:pPr>
            <w:r>
              <w:rPr>
                <w:color w:val="1A1A2D"/>
                <w:sz w:val="18"/>
              </w:rPr>
              <w:t>Personas usuarias del Centro Hermano Pedro.</w:t>
            </w:r>
          </w:p>
        </w:tc>
      </w:tr>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Destinatarios / Cesionarios</w:t>
            </w:r>
          </w:p>
        </w:tc>
        <w:tc>
          <w:tcPr>
            <w:tcW w:w="6560" w:type="dxa"/>
            <w:tcBorders>
              <w:bottom w:val="single" w:sz="34" w:space="0" w:color="FFFFFF"/>
            </w:tcBorders>
            <w:shd w:val="clear" w:color="auto" w:fill="F4F6F8"/>
          </w:tcPr>
          <w:p>
            <w:pPr>
              <w:pStyle w:val="TableParagraph"/>
              <w:spacing w:line="256" w:lineRule="auto" w:before="79"/>
              <w:rPr>
                <w:sz w:val="18"/>
              </w:rPr>
            </w:pPr>
            <w:r>
              <w:rPr>
                <w:color w:val="1A1A2D"/>
                <w:sz w:val="18"/>
              </w:rPr>
              <w:t>Servicio Canario de Salud (coordinación asistencial); Gobierno de Canarias; Cabildo de Tenerife; centros ocupacionales; Juzgados y Tribunales de Canarias.</w:t>
            </w:r>
          </w:p>
        </w:tc>
      </w:tr>
      <w:tr>
        <w:trPr>
          <w:trHeight w:val="709" w:hRule="atLeast"/>
        </w:trPr>
        <w:tc>
          <w:tcPr>
            <w:tcW w:w="2802" w:type="dxa"/>
            <w:shd w:val="clear" w:color="auto" w:fill="C7DCEF"/>
          </w:tcPr>
          <w:p>
            <w:pPr>
              <w:pStyle w:val="TableParagraph"/>
              <w:spacing w:before="129"/>
              <w:ind w:left="132"/>
              <w:rPr>
                <w:b/>
                <w:sz w:val="16"/>
              </w:rPr>
            </w:pPr>
            <w:r>
              <w:rPr>
                <w:b/>
                <w:color w:val="1A3556"/>
                <w:sz w:val="16"/>
              </w:rPr>
              <w:t>Plazo de conservación</w:t>
            </w:r>
          </w:p>
        </w:tc>
        <w:tc>
          <w:tcPr>
            <w:tcW w:w="6560" w:type="dxa"/>
            <w:tcBorders>
              <w:top w:val="single" w:sz="34" w:space="0" w:color="FFFFFF"/>
            </w:tcBorders>
          </w:tcPr>
          <w:p>
            <w:pPr>
              <w:pStyle w:val="TableParagraph"/>
              <w:spacing w:line="254" w:lineRule="auto"/>
              <w:ind w:right="465"/>
              <w:rPr>
                <w:sz w:val="18"/>
              </w:rPr>
            </w:pPr>
            <w:r>
              <w:rPr>
                <w:color w:val="1A1A2D"/>
                <w:sz w:val="18"/>
              </w:rPr>
              <w:t>Historia clínica: 15 años conforme a normativa sanitaria de Canarias. Registros de citas: 5 años.</w:t>
            </w:r>
          </w:p>
        </w:tc>
      </w:tr>
      <w:tr>
        <w:trPr>
          <w:trHeight w:val="553" w:hRule="atLeast"/>
        </w:trPr>
        <w:tc>
          <w:tcPr>
            <w:tcW w:w="2802" w:type="dxa"/>
            <w:shd w:val="clear" w:color="auto" w:fill="C7DCEF"/>
          </w:tcPr>
          <w:p>
            <w:pPr>
              <w:pStyle w:val="TableParagraph"/>
              <w:spacing w:before="91"/>
              <w:ind w:left="132"/>
              <w:rPr>
                <w:b/>
                <w:sz w:val="16"/>
              </w:rPr>
            </w:pPr>
            <w:r>
              <w:rPr>
                <w:b/>
                <w:color w:val="1A3556"/>
                <w:sz w:val="16"/>
              </w:rPr>
              <w:t>Transferencias internacionales</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No se realizan transferencias internacionales de datos personales.</w:t>
            </w:r>
          </w:p>
        </w:tc>
      </w:tr>
      <w:tr>
        <w:trPr>
          <w:trHeight w:val="950" w:hRule="atLeast"/>
        </w:trPr>
        <w:tc>
          <w:tcPr>
            <w:tcW w:w="2802" w:type="dxa"/>
            <w:shd w:val="clear" w:color="auto" w:fill="C7DCEF"/>
          </w:tcPr>
          <w:p>
            <w:pPr>
              <w:pStyle w:val="TableParagraph"/>
              <w:ind w:left="0"/>
              <w:rPr>
                <w:sz w:val="12"/>
              </w:rPr>
            </w:pPr>
          </w:p>
          <w:p>
            <w:pPr>
              <w:pStyle w:val="TableParagraph"/>
              <w:spacing w:line="256" w:lineRule="auto"/>
              <w:ind w:left="132" w:right="267"/>
              <w:rPr>
                <w:b/>
                <w:sz w:val="16"/>
              </w:rPr>
            </w:pPr>
            <w:r>
              <w:rPr>
                <w:b/>
                <w:color w:val="1A3556"/>
                <w:sz w:val="16"/>
              </w:rPr>
              <w:t>Medidas técnicas y organizativas de seguridad</w:t>
            </w:r>
          </w:p>
        </w:tc>
        <w:tc>
          <w:tcPr>
            <w:tcW w:w="6560" w:type="dxa"/>
            <w:tcBorders>
              <w:top w:val="single" w:sz="34" w:space="0" w:color="FFFFFF"/>
            </w:tcBorders>
          </w:tcPr>
          <w:p>
            <w:pPr>
              <w:pStyle w:val="TableParagraph"/>
              <w:spacing w:line="259" w:lineRule="auto"/>
              <w:ind w:right="498"/>
              <w:rPr>
                <w:sz w:val="18"/>
              </w:rPr>
            </w:pPr>
            <w:r>
              <w:rPr>
                <w:color w:val="1A1A2D"/>
                <w:sz w:val="18"/>
              </w:rPr>
              <w:t>Acceso restringido al personal sanitario del centro; secreto médico y profesional; separación lógica de la historia clínica del resto del expediente; medidas ENS RD 311/2022.</w:t>
            </w:r>
          </w:p>
        </w:tc>
      </w:tr>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Encargados del tratamiento</w:t>
            </w:r>
          </w:p>
        </w:tc>
        <w:tc>
          <w:tcPr>
            <w:tcW w:w="6560" w:type="dxa"/>
            <w:shd w:val="clear" w:color="auto" w:fill="F4F6F8"/>
          </w:tcPr>
          <w:p>
            <w:pPr>
              <w:pStyle w:val="TableParagraph"/>
              <w:spacing w:line="256" w:lineRule="auto" w:before="79"/>
              <w:rPr>
                <w:sz w:val="18"/>
              </w:rPr>
            </w:pPr>
            <w:r>
              <w:rPr>
                <w:color w:val="1A1A2D"/>
                <w:sz w:val="18"/>
              </w:rPr>
              <w:t>Farmacia Salamanca (suministro y gestión de medicación, con acuerdo de confidencialidad art. 28 RGPD).</w:t>
            </w:r>
          </w:p>
        </w:tc>
      </w:tr>
      <w:tr>
        <w:trPr>
          <w:trHeight w:val="551" w:hRule="atLeast"/>
        </w:trPr>
        <w:tc>
          <w:tcPr>
            <w:tcW w:w="2802" w:type="dxa"/>
            <w:shd w:val="clear" w:color="auto" w:fill="C7DCEF"/>
          </w:tcPr>
          <w:p>
            <w:pPr>
              <w:pStyle w:val="TableParagraph"/>
              <w:spacing w:before="88"/>
              <w:ind w:left="132"/>
              <w:rPr>
                <w:b/>
                <w:sz w:val="16"/>
              </w:rPr>
            </w:pPr>
            <w:r>
              <w:rPr>
                <w:b/>
                <w:color w:val="1A3556"/>
                <w:sz w:val="16"/>
              </w:rPr>
              <w:t>Nivel de riesgo / EIPD</w:t>
            </w:r>
          </w:p>
        </w:tc>
        <w:tc>
          <w:tcPr>
            <w:tcW w:w="6560" w:type="dxa"/>
            <w:shd w:val="clear" w:color="auto" w:fill="FFDFD5"/>
          </w:tcPr>
          <w:p>
            <w:pPr>
              <w:pStyle w:val="TableParagraph"/>
              <w:spacing w:before="77"/>
              <w:rPr>
                <w:sz w:val="18"/>
              </w:rPr>
            </w:pPr>
            <w:r>
              <w:rPr>
                <w:color w:val="1A1A2D"/>
                <w:sz w:val="18"/>
              </w:rPr>
              <w:t>MUY ALTO – Historia clínica de personas con discapacidad intelectual. Requiere EIPD.</w:t>
            </w:r>
          </w:p>
        </w:tc>
      </w:tr>
    </w:tbl>
    <w:p>
      <w:pPr>
        <w:spacing w:line="240" w:lineRule="auto" w:before="5"/>
        <w:rPr>
          <w:sz w:val="13"/>
        </w:rPr>
      </w:pPr>
    </w:p>
    <w:p>
      <w:pPr>
        <w:spacing w:before="56"/>
        <w:ind w:left="906" w:right="261" w:firstLine="0"/>
        <w:jc w:val="center"/>
        <w:rPr>
          <w:sz w:val="22"/>
        </w:rPr>
      </w:pPr>
      <w:r>
        <w:rPr>
          <w:color w:val="4471C4"/>
          <w:sz w:val="22"/>
        </w:rPr>
        <w:t>15</w:t>
      </w:r>
    </w:p>
    <w:p>
      <w:pPr>
        <w:spacing w:after="0"/>
        <w:jc w:val="center"/>
        <w:rPr>
          <w:sz w:val="22"/>
        </w:rPr>
        <w:sectPr>
          <w:pgSz w:w="11910" w:h="16840"/>
          <w:pgMar w:top="1580" w:bottom="280" w:left="340" w:right="420"/>
        </w:sectPr>
      </w:pPr>
    </w:p>
    <w:p>
      <w:pPr>
        <w:tabs>
          <w:tab w:pos="9129" w:val="left" w:leader="none"/>
        </w:tabs>
        <w:spacing w:line="240" w:lineRule="auto"/>
        <w:ind w:left="1351" w:right="0" w:firstLine="0"/>
        <w:rPr>
          <w:sz w:val="20"/>
        </w:rPr>
      </w:pPr>
      <w:r>
        <w:rPr>
          <w:sz w:val="20"/>
        </w:rPr>
        <w:pict>
          <v:group style="width:115.75pt;height:46.15pt;mso-position-horizontal-relative:char;mso-position-vertical-relative:line" coordorigin="0,0" coordsize="2315,923">
            <v:shape style="position:absolute;left:0;top:57;width:2269;height:865" type="#_x0000_t75" stroked="false">
              <v:imagedata r:id="rId10" o:title=""/>
            </v:shape>
            <v:line style="position:absolute" from="2307,730" to="2307,0" stroked="true" strokeweight=".721015pt" strokecolor="#000000">
              <v:stroke dashstyle="solid"/>
            </v:line>
          </v:group>
        </w:pict>
      </w:r>
      <w:r>
        <w:rPr>
          <w:sz w:val="20"/>
        </w:rPr>
      </w:r>
      <w:r>
        <w:rPr>
          <w:sz w:val="20"/>
        </w:rPr>
        <w:tab/>
      </w:r>
      <w:r>
        <w:rPr>
          <w:position w:val="2"/>
          <w:sz w:val="20"/>
        </w:rPr>
        <w:drawing>
          <wp:inline distT="0" distB="0" distL="0" distR="0">
            <wp:extent cx="310979" cy="585216"/>
            <wp:effectExtent l="0" t="0" r="0" b="0"/>
            <wp:docPr id="9" name="image3.jpeg"/>
            <wp:cNvGraphicFramePr>
              <a:graphicFrameLocks noChangeAspect="1"/>
            </wp:cNvGraphicFramePr>
            <a:graphic>
              <a:graphicData uri="http://schemas.openxmlformats.org/drawingml/2006/picture">
                <pic:pic>
                  <pic:nvPicPr>
                    <pic:cNvPr id="10" name="image3.jpeg"/>
                    <pic:cNvPicPr/>
                  </pic:nvPicPr>
                  <pic:blipFill>
                    <a:blip r:embed="rId11" cstate="print"/>
                    <a:stretch>
                      <a:fillRect/>
                    </a:stretch>
                  </pic:blipFill>
                  <pic:spPr>
                    <a:xfrm>
                      <a:off x="0" y="0"/>
                      <a:ext cx="310979" cy="585216"/>
                    </a:xfrm>
                    <a:prstGeom prst="rect">
                      <a:avLst/>
                    </a:prstGeom>
                  </pic:spPr>
                </pic:pic>
              </a:graphicData>
            </a:graphic>
          </wp:inline>
        </w:drawing>
      </w:r>
      <w:r>
        <w:rPr>
          <w:position w:val="2"/>
          <w:sz w:val="20"/>
        </w:rPr>
      </w:r>
    </w:p>
    <w:p>
      <w:pPr>
        <w:spacing w:after="0" w:line="240" w:lineRule="auto"/>
        <w:rPr>
          <w:sz w:val="20"/>
        </w:rPr>
        <w:sectPr>
          <w:pgSz w:w="11910" w:h="16840"/>
          <w:pgMar w:top="740" w:bottom="280" w:left="340" w:right="420"/>
        </w:sectPr>
      </w:pPr>
    </w:p>
    <w:p>
      <w:pPr>
        <w:spacing w:line="292" w:lineRule="auto" w:before="47"/>
        <w:ind w:left="1563" w:right="31" w:hanging="223"/>
        <w:jc w:val="left"/>
        <w:rPr>
          <w:rFonts w:ascii="Arial" w:hAnsi="Arial"/>
          <w:sz w:val="13"/>
        </w:rPr>
      </w:pPr>
      <w:r>
        <w:rPr>
          <w:rFonts w:ascii="Arial" w:hAnsi="Arial"/>
          <w:color w:val="3D363B"/>
          <w:w w:val="110"/>
          <w:sz w:val="13"/>
        </w:rPr>
        <w:t>FUNDACIÓN TUTELAR </w:t>
      </w:r>
      <w:r>
        <w:rPr>
          <w:rFonts w:ascii="Arial" w:hAnsi="Arial"/>
          <w:b/>
          <w:color w:val="3D363B"/>
          <w:w w:val="110"/>
          <w:sz w:val="13"/>
        </w:rPr>
        <w:t>CANARIA PARA </w:t>
      </w:r>
      <w:r>
        <w:rPr>
          <w:rFonts w:ascii="Arial" w:hAnsi="Arial"/>
          <w:color w:val="3D363B"/>
          <w:w w:val="110"/>
          <w:sz w:val="13"/>
        </w:rPr>
        <w:t>LA ACCIÓN SOCIAL</w:t>
      </w:r>
    </w:p>
    <w:p>
      <w:pPr>
        <w:pStyle w:val="Heading2"/>
        <w:spacing w:line="192" w:lineRule="auto"/>
        <w:ind w:firstLine="124"/>
        <w:jc w:val="left"/>
        <w:rPr>
          <w:rFonts w:ascii="Times New Roman"/>
        </w:rPr>
      </w:pPr>
      <w:r>
        <w:rPr>
          <w:b w:val="0"/>
        </w:rPr>
        <w:br w:type="column"/>
      </w:r>
      <w:r>
        <w:rPr>
          <w:rFonts w:ascii="Times New Roman"/>
          <w:color w:val="2A262D"/>
          <w:w w:val="105"/>
        </w:rPr>
        <w:t>Gobierno de Canarias</w:t>
      </w:r>
    </w:p>
    <w:p>
      <w:pPr>
        <w:spacing w:after="0" w:line="192" w:lineRule="auto"/>
        <w:jc w:val="left"/>
        <w:rPr>
          <w:rFonts w:ascii="Times New Roman"/>
        </w:rPr>
        <w:sectPr>
          <w:type w:val="continuous"/>
          <w:pgSz w:w="11910" w:h="16840"/>
          <w:pgMar w:top="1580" w:bottom="280" w:left="340" w:right="420"/>
          <w:cols w:num="2" w:equalWidth="0">
            <w:col w:w="3632" w:space="3704"/>
            <w:col w:w="3814"/>
          </w:cols>
        </w:sectPr>
      </w:pPr>
    </w:p>
    <w:p>
      <w:pPr>
        <w:pStyle w:val="BodyText"/>
        <w:rPr>
          <w:rFonts w:ascii="Times New Roman"/>
          <w:sz w:val="20"/>
        </w:rPr>
      </w:pPr>
    </w:p>
    <w:p>
      <w:pPr>
        <w:pStyle w:val="BodyText"/>
        <w:rPr>
          <w:rFonts w:ascii="Times New Roman"/>
          <w:sz w:val="20"/>
        </w:rPr>
      </w:pPr>
    </w:p>
    <w:p>
      <w:pPr>
        <w:pStyle w:val="BodyText"/>
        <w:spacing w:before="5" w:after="1"/>
        <w:rPr>
          <w:rFonts w:ascii="Times New Roman"/>
          <w:sz w:val="18"/>
        </w:rPr>
      </w:pPr>
    </w:p>
    <w:p>
      <w:pPr>
        <w:pStyle w:val="BodyText"/>
        <w:ind w:left="111"/>
        <w:rPr>
          <w:rFonts w:ascii="Times New Roman"/>
          <w:b w:val="0"/>
          <w:sz w:val="20"/>
        </w:rPr>
      </w:pPr>
      <w:r>
        <w:rPr>
          <w:rFonts w:ascii="Times New Roman"/>
          <w:b w:val="0"/>
          <w:sz w:val="20"/>
        </w:rPr>
        <w:drawing>
          <wp:inline distT="0" distB="0" distL="0" distR="0">
            <wp:extent cx="67074" cy="627887"/>
            <wp:effectExtent l="0" t="0" r="0" b="0"/>
            <wp:docPr id="11" name="image4.jpeg"/>
            <wp:cNvGraphicFramePr>
              <a:graphicFrameLocks noChangeAspect="1"/>
            </wp:cNvGraphicFramePr>
            <a:graphic>
              <a:graphicData uri="http://schemas.openxmlformats.org/drawingml/2006/picture">
                <pic:pic>
                  <pic:nvPicPr>
                    <pic:cNvPr id="12" name="image4.jpeg"/>
                    <pic:cNvPicPr/>
                  </pic:nvPicPr>
                  <pic:blipFill>
                    <a:blip r:embed="rId12" cstate="print"/>
                    <a:stretch>
                      <a:fillRect/>
                    </a:stretch>
                  </pic:blipFill>
                  <pic:spPr>
                    <a:xfrm>
                      <a:off x="0" y="0"/>
                      <a:ext cx="67074" cy="627887"/>
                    </a:xfrm>
                    <a:prstGeom prst="rect">
                      <a:avLst/>
                    </a:prstGeom>
                  </pic:spPr>
                </pic:pic>
              </a:graphicData>
            </a:graphic>
          </wp:inline>
        </w:drawing>
      </w:r>
      <w:r>
        <w:rPr>
          <w:rFonts w:ascii="Times New Roman"/>
          <w:b w:val="0"/>
          <w:sz w:val="20"/>
        </w:rPr>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spacing w:before="194"/>
        <w:ind w:left="906" w:right="261" w:firstLine="0"/>
        <w:jc w:val="center"/>
        <w:rPr>
          <w:sz w:val="22"/>
        </w:rPr>
      </w:pPr>
      <w:r>
        <w:rPr/>
        <w:drawing>
          <wp:anchor distT="0" distB="0" distL="0" distR="0" allowOverlap="1" layoutInCell="1" locked="0" behindDoc="0" simplePos="0" relativeHeight="251687936">
            <wp:simplePos x="0" y="0"/>
            <wp:positionH relativeFrom="page">
              <wp:posOffset>283863</wp:posOffset>
            </wp:positionH>
            <wp:positionV relativeFrom="paragraph">
              <wp:posOffset>-7115092</wp:posOffset>
            </wp:positionV>
            <wp:extent cx="85464" cy="7283872"/>
            <wp:effectExtent l="0" t="0" r="0" b="0"/>
            <wp:wrapNone/>
            <wp:docPr id="13" name="image5.jpeg"/>
            <wp:cNvGraphicFramePr>
              <a:graphicFrameLocks noChangeAspect="1"/>
            </wp:cNvGraphicFramePr>
            <a:graphic>
              <a:graphicData uri="http://schemas.openxmlformats.org/drawingml/2006/picture">
                <pic:pic>
                  <pic:nvPicPr>
                    <pic:cNvPr id="14" name="image5.jpeg"/>
                    <pic:cNvPicPr/>
                  </pic:nvPicPr>
                  <pic:blipFill>
                    <a:blip r:embed="rId13" cstate="print"/>
                    <a:stretch>
                      <a:fillRect/>
                    </a:stretch>
                  </pic:blipFill>
                  <pic:spPr>
                    <a:xfrm>
                      <a:off x="0" y="0"/>
                      <a:ext cx="85464" cy="7283872"/>
                    </a:xfrm>
                    <a:prstGeom prst="rect">
                      <a:avLst/>
                    </a:prstGeom>
                  </pic:spPr>
                </pic:pic>
              </a:graphicData>
            </a:graphic>
          </wp:anchor>
        </w:drawing>
      </w:r>
      <w:r>
        <w:rPr>
          <w:color w:val="4471C4"/>
          <w:sz w:val="22"/>
        </w:rPr>
        <w:t>16</w:t>
      </w:r>
    </w:p>
    <w:p>
      <w:pPr>
        <w:spacing w:before="37"/>
        <w:ind w:left="906" w:right="243" w:firstLine="0"/>
        <w:jc w:val="center"/>
        <w:rPr>
          <w:rFonts w:ascii="Arial" w:hAnsi="Arial"/>
          <w:sz w:val="15"/>
        </w:rPr>
      </w:pPr>
      <w:r>
        <w:rPr>
          <w:rFonts w:ascii="Arial" w:hAnsi="Arial"/>
          <w:color w:val="3D363B"/>
          <w:sz w:val="15"/>
        </w:rPr>
        <w:t>www</w:t>
      </w:r>
      <w:r>
        <w:rPr>
          <w:rFonts w:ascii="Arial" w:hAnsi="Arial"/>
          <w:color w:val="13214B"/>
          <w:sz w:val="15"/>
        </w:rPr>
        <w:t>.</w:t>
      </w:r>
      <w:r>
        <w:rPr>
          <w:rFonts w:ascii="Arial" w:hAnsi="Arial"/>
          <w:color w:val="2A262D"/>
          <w:sz w:val="15"/>
        </w:rPr>
        <w:t>fucas </w:t>
      </w:r>
      <w:r>
        <w:rPr>
          <w:rFonts w:ascii="Arial" w:hAnsi="Arial"/>
          <w:color w:val="13214B"/>
          <w:sz w:val="15"/>
        </w:rPr>
        <w:t>.</w:t>
      </w:r>
      <w:r>
        <w:rPr>
          <w:rFonts w:ascii="Arial" w:hAnsi="Arial"/>
          <w:color w:val="3D363B"/>
          <w:sz w:val="15"/>
        </w:rPr>
        <w:t>o</w:t>
      </w:r>
      <w:r>
        <w:rPr>
          <w:rFonts w:ascii="Arial" w:hAnsi="Arial"/>
          <w:color w:val="3B1F1A"/>
          <w:sz w:val="15"/>
        </w:rPr>
        <w:t>r</w:t>
      </w:r>
      <w:r>
        <w:rPr>
          <w:rFonts w:ascii="Arial" w:hAnsi="Arial"/>
          <w:color w:val="3D363B"/>
          <w:sz w:val="15"/>
        </w:rPr>
        <w:t>g</w:t>
      </w:r>
      <w:r>
        <w:rPr>
          <w:rFonts w:ascii="Arial" w:hAnsi="Arial"/>
          <w:color w:val="464B60"/>
          <w:sz w:val="15"/>
        </w:rPr>
        <w:t>. </w:t>
      </w:r>
      <w:r>
        <w:rPr>
          <w:rFonts w:ascii="Arial" w:hAnsi="Arial"/>
          <w:color w:val="2A262D"/>
          <w:sz w:val="15"/>
        </w:rPr>
        <w:t>Fundación </w:t>
      </w:r>
      <w:r>
        <w:rPr>
          <w:rFonts w:ascii="Arial" w:hAnsi="Arial"/>
          <w:color w:val="3D363B"/>
          <w:sz w:val="15"/>
        </w:rPr>
        <w:t>Tu</w:t>
      </w:r>
      <w:r>
        <w:rPr>
          <w:rFonts w:ascii="Arial" w:hAnsi="Arial"/>
          <w:color w:val="4F2F1D"/>
          <w:sz w:val="15"/>
        </w:rPr>
        <w:t>t</w:t>
      </w:r>
      <w:r>
        <w:rPr>
          <w:rFonts w:ascii="Arial" w:hAnsi="Arial"/>
          <w:color w:val="3D363B"/>
          <w:sz w:val="15"/>
        </w:rPr>
        <w:t>e</w:t>
      </w:r>
      <w:r>
        <w:rPr>
          <w:rFonts w:ascii="Arial" w:hAnsi="Arial"/>
          <w:color w:val="21111D"/>
          <w:sz w:val="15"/>
        </w:rPr>
        <w:t>l</w:t>
      </w:r>
      <w:r>
        <w:rPr>
          <w:rFonts w:ascii="Arial" w:hAnsi="Arial"/>
          <w:color w:val="3D363B"/>
          <w:sz w:val="15"/>
        </w:rPr>
        <w:t>a</w:t>
      </w:r>
      <w:r>
        <w:rPr>
          <w:rFonts w:ascii="Arial" w:hAnsi="Arial"/>
          <w:color w:val="3B1F1A"/>
          <w:sz w:val="15"/>
        </w:rPr>
        <w:t>r </w:t>
      </w:r>
      <w:r>
        <w:rPr>
          <w:rFonts w:ascii="Arial" w:hAnsi="Arial"/>
          <w:color w:val="3D363B"/>
          <w:sz w:val="15"/>
        </w:rPr>
        <w:t>Canar</w:t>
      </w:r>
      <w:r>
        <w:rPr>
          <w:rFonts w:ascii="Arial" w:hAnsi="Arial"/>
          <w:color w:val="3B1F1A"/>
          <w:sz w:val="15"/>
        </w:rPr>
        <w:t>i</w:t>
      </w:r>
      <w:r>
        <w:rPr>
          <w:rFonts w:ascii="Arial" w:hAnsi="Arial"/>
          <w:color w:val="3D363B"/>
          <w:sz w:val="15"/>
        </w:rPr>
        <w:t>a </w:t>
      </w:r>
      <w:r>
        <w:rPr>
          <w:rFonts w:ascii="Arial" w:hAnsi="Arial"/>
          <w:color w:val="4F2F1D"/>
          <w:sz w:val="15"/>
        </w:rPr>
        <w:t>p</w:t>
      </w:r>
      <w:r>
        <w:rPr>
          <w:rFonts w:ascii="Arial" w:hAnsi="Arial"/>
          <w:color w:val="3D363B"/>
          <w:sz w:val="15"/>
        </w:rPr>
        <w:t>a</w:t>
      </w:r>
      <w:r>
        <w:rPr>
          <w:rFonts w:ascii="Arial" w:hAnsi="Arial"/>
          <w:color w:val="21111D"/>
          <w:sz w:val="15"/>
        </w:rPr>
        <w:t>r</w:t>
      </w:r>
      <w:r>
        <w:rPr>
          <w:rFonts w:ascii="Arial" w:hAnsi="Arial"/>
          <w:color w:val="3D363B"/>
          <w:sz w:val="15"/>
        </w:rPr>
        <w:t>a </w:t>
      </w:r>
      <w:r>
        <w:rPr>
          <w:rFonts w:ascii="Arial" w:hAnsi="Arial"/>
          <w:color w:val="4F2F1D"/>
          <w:sz w:val="15"/>
        </w:rPr>
        <w:t>l</w:t>
      </w:r>
      <w:r>
        <w:rPr>
          <w:rFonts w:ascii="Arial" w:hAnsi="Arial"/>
          <w:color w:val="3D363B"/>
          <w:sz w:val="15"/>
        </w:rPr>
        <w:t>a </w:t>
      </w:r>
      <w:r>
        <w:rPr>
          <w:rFonts w:ascii="Arial" w:hAnsi="Arial"/>
          <w:color w:val="2A262D"/>
          <w:sz w:val="15"/>
        </w:rPr>
        <w:t>Acción </w:t>
      </w:r>
      <w:r>
        <w:rPr>
          <w:rFonts w:ascii="Arial" w:hAnsi="Arial"/>
          <w:color w:val="3D363B"/>
          <w:sz w:val="15"/>
        </w:rPr>
        <w:t>Soc</w:t>
      </w:r>
      <w:r>
        <w:rPr>
          <w:rFonts w:ascii="Arial" w:hAnsi="Arial"/>
          <w:color w:val="4F2F1D"/>
          <w:sz w:val="15"/>
        </w:rPr>
        <w:t>i</w:t>
      </w:r>
      <w:r>
        <w:rPr>
          <w:rFonts w:ascii="Arial" w:hAnsi="Arial"/>
          <w:color w:val="3D363B"/>
          <w:sz w:val="15"/>
        </w:rPr>
        <w:t>a</w:t>
      </w:r>
      <w:r>
        <w:rPr>
          <w:rFonts w:ascii="Arial" w:hAnsi="Arial"/>
          <w:color w:val="21111D"/>
          <w:sz w:val="15"/>
        </w:rPr>
        <w:t>l</w:t>
      </w:r>
      <w:r>
        <w:rPr>
          <w:rFonts w:ascii="Arial" w:hAnsi="Arial"/>
          <w:color w:val="645457"/>
          <w:sz w:val="15"/>
        </w:rPr>
        <w:t>, </w:t>
      </w:r>
      <w:r>
        <w:rPr>
          <w:rFonts w:ascii="Arial" w:hAnsi="Arial"/>
          <w:color w:val="3D363B"/>
          <w:sz w:val="15"/>
        </w:rPr>
        <w:t>M</w:t>
      </w:r>
      <w:r>
        <w:rPr>
          <w:rFonts w:ascii="Arial" w:hAnsi="Arial"/>
          <w:color w:val="464B60"/>
          <w:sz w:val="15"/>
        </w:rPr>
        <w:t>.</w:t>
      </w:r>
      <w:r>
        <w:rPr>
          <w:rFonts w:ascii="Arial" w:hAnsi="Arial"/>
          <w:color w:val="3D363B"/>
          <w:sz w:val="15"/>
        </w:rPr>
        <w:t>P</w:t>
      </w:r>
      <w:r>
        <w:rPr>
          <w:rFonts w:ascii="Arial" w:hAnsi="Arial"/>
          <w:color w:val="464B60"/>
          <w:sz w:val="15"/>
        </w:rPr>
        <w:t>. </w:t>
      </w:r>
      <w:r>
        <w:rPr>
          <w:rFonts w:ascii="Arial" w:hAnsi="Arial"/>
          <w:color w:val="3D363B"/>
          <w:sz w:val="15"/>
        </w:rPr>
        <w:t>C/ Gaya</w:t>
      </w:r>
      <w:r>
        <w:rPr>
          <w:rFonts w:ascii="Arial" w:hAnsi="Arial"/>
          <w:color w:val="5B5B70"/>
          <w:sz w:val="15"/>
        </w:rPr>
        <w:t>, </w:t>
      </w:r>
      <w:r>
        <w:rPr>
          <w:rFonts w:ascii="Arial" w:hAnsi="Arial"/>
          <w:color w:val="2A262D"/>
          <w:sz w:val="15"/>
        </w:rPr>
        <w:t>n</w:t>
      </w:r>
      <w:r>
        <w:rPr>
          <w:rFonts w:ascii="Arial" w:hAnsi="Arial"/>
          <w:color w:val="645457"/>
          <w:sz w:val="15"/>
        </w:rPr>
        <w:t>º </w:t>
      </w:r>
      <w:r>
        <w:rPr>
          <w:rFonts w:ascii="Arial" w:hAnsi="Arial"/>
          <w:color w:val="594241"/>
          <w:sz w:val="15"/>
        </w:rPr>
        <w:t>6 </w:t>
      </w:r>
      <w:r>
        <w:rPr>
          <w:rFonts w:ascii="Arial" w:hAnsi="Arial"/>
          <w:color w:val="3D363B"/>
          <w:sz w:val="15"/>
        </w:rPr>
        <w:t>(Tafi</w:t>
      </w:r>
      <w:r>
        <w:rPr>
          <w:rFonts w:ascii="Arial" w:hAnsi="Arial"/>
          <w:color w:val="3B1F1A"/>
          <w:sz w:val="15"/>
        </w:rPr>
        <w:t>r</w:t>
      </w:r>
      <w:r>
        <w:rPr>
          <w:rFonts w:ascii="Arial" w:hAnsi="Arial"/>
          <w:color w:val="3D363B"/>
          <w:sz w:val="15"/>
        </w:rPr>
        <w:t>a A</w:t>
      </w:r>
      <w:r>
        <w:rPr>
          <w:rFonts w:ascii="Arial" w:hAnsi="Arial"/>
          <w:color w:val="21111D"/>
          <w:sz w:val="15"/>
        </w:rPr>
        <w:t>lt</w:t>
      </w:r>
      <w:r>
        <w:rPr>
          <w:rFonts w:ascii="Arial" w:hAnsi="Arial"/>
          <w:color w:val="3D363B"/>
          <w:sz w:val="15"/>
        </w:rPr>
        <w:t>a)</w:t>
      </w:r>
      <w:r>
        <w:rPr>
          <w:rFonts w:ascii="Arial" w:hAnsi="Arial"/>
          <w:color w:val="464B60"/>
          <w:sz w:val="15"/>
        </w:rPr>
        <w:t>. </w:t>
      </w:r>
      <w:r>
        <w:rPr>
          <w:rFonts w:ascii="Arial" w:hAnsi="Arial"/>
          <w:color w:val="3D363B"/>
          <w:sz w:val="15"/>
        </w:rPr>
        <w:t>35017 </w:t>
      </w:r>
      <w:r>
        <w:rPr>
          <w:rFonts w:ascii="Arial" w:hAnsi="Arial"/>
          <w:color w:val="2A262D"/>
          <w:sz w:val="15"/>
        </w:rPr>
        <w:t>Las </w:t>
      </w:r>
      <w:r>
        <w:rPr>
          <w:rFonts w:ascii="Arial" w:hAnsi="Arial"/>
          <w:color w:val="3D363B"/>
          <w:sz w:val="15"/>
        </w:rPr>
        <w:t>Pa</w:t>
      </w:r>
      <w:r>
        <w:rPr>
          <w:rFonts w:ascii="Arial" w:hAnsi="Arial"/>
          <w:color w:val="21111D"/>
          <w:sz w:val="15"/>
        </w:rPr>
        <w:t>l</w:t>
      </w:r>
      <w:r>
        <w:rPr>
          <w:rFonts w:ascii="Arial" w:hAnsi="Arial"/>
          <w:color w:val="3B1F1A"/>
          <w:sz w:val="15"/>
        </w:rPr>
        <w:t>m</w:t>
      </w:r>
      <w:r>
        <w:rPr>
          <w:rFonts w:ascii="Arial" w:hAnsi="Arial"/>
          <w:color w:val="3D363B"/>
          <w:sz w:val="15"/>
        </w:rPr>
        <w:t>as </w:t>
      </w:r>
      <w:r>
        <w:rPr>
          <w:rFonts w:ascii="Arial" w:hAnsi="Arial"/>
          <w:color w:val="2A262D"/>
          <w:sz w:val="15"/>
        </w:rPr>
        <w:t>de </w:t>
      </w:r>
      <w:r>
        <w:rPr>
          <w:rFonts w:ascii="Arial" w:hAnsi="Arial"/>
          <w:color w:val="3D363B"/>
          <w:sz w:val="15"/>
        </w:rPr>
        <w:t>G</w:t>
      </w:r>
      <w:r>
        <w:rPr>
          <w:rFonts w:ascii="Arial" w:hAnsi="Arial"/>
          <w:color w:val="3B1F1A"/>
          <w:sz w:val="15"/>
        </w:rPr>
        <w:t>r</w:t>
      </w:r>
      <w:r>
        <w:rPr>
          <w:rFonts w:ascii="Arial" w:hAnsi="Arial"/>
          <w:color w:val="3D363B"/>
          <w:sz w:val="15"/>
        </w:rPr>
        <w:t>an Canar</w:t>
      </w:r>
      <w:r>
        <w:rPr>
          <w:rFonts w:ascii="Arial" w:hAnsi="Arial"/>
          <w:color w:val="3B1F1A"/>
          <w:sz w:val="15"/>
        </w:rPr>
        <w:t>i</w:t>
      </w:r>
      <w:r>
        <w:rPr>
          <w:rFonts w:ascii="Arial" w:hAnsi="Arial"/>
          <w:color w:val="3D363B"/>
          <w:sz w:val="15"/>
        </w:rPr>
        <w:t>a (Las Pa</w:t>
      </w:r>
      <w:r>
        <w:rPr>
          <w:rFonts w:ascii="Arial" w:hAnsi="Arial"/>
          <w:color w:val="3B1F1A"/>
          <w:sz w:val="15"/>
        </w:rPr>
        <w:t>lm</w:t>
      </w:r>
      <w:r>
        <w:rPr>
          <w:rFonts w:ascii="Arial" w:hAnsi="Arial"/>
          <w:color w:val="3D363B"/>
          <w:sz w:val="15"/>
        </w:rPr>
        <w:t>as)</w:t>
      </w:r>
    </w:p>
    <w:p>
      <w:pPr>
        <w:spacing w:after="0"/>
        <w:jc w:val="center"/>
        <w:rPr>
          <w:rFonts w:ascii="Arial" w:hAnsi="Arial"/>
          <w:sz w:val="15"/>
        </w:rPr>
        <w:sectPr>
          <w:type w:val="continuous"/>
          <w:pgSz w:w="11910" w:h="16840"/>
          <w:pgMar w:top="1580" w:bottom="280" w:left="340" w:right="420"/>
        </w:sectPr>
      </w:pPr>
    </w:p>
    <w:p>
      <w:pPr>
        <w:pStyle w:val="BodyText"/>
        <w:rPr>
          <w:rFonts w:ascii="Arial"/>
          <w:b w:val="0"/>
          <w:sz w:val="20"/>
        </w:rPr>
      </w:pPr>
      <w:r>
        <w:rPr/>
        <w:pict>
          <v:group style="position:absolute;margin-left:.000009pt;margin-top:36.832428pt;width:568.450pt;height:765.7pt;mso-position-horizontal-relative:page;mso-position-vertical-relative:page;z-index:-254791680" coordorigin="0,737" coordsize="11369,15314">
            <v:shape style="position:absolute;left:0;top:736;width:11198;height:15314" type="#_x0000_t75" stroked="false">
              <v:imagedata r:id="rId5" o:title=""/>
            </v:shape>
            <v:shape style="position:absolute;left:1104;top:2758;width:10265;height:356" coordorigin="1104,2758" coordsize="10265,356" path="m11368,3094l1104,3094,1104,3113,11368,3113,11368,3094m11368,2758l1104,2758,1104,2777,11368,2777,11368,2758e" filled="true" fillcolor="#aaaaaa" stroked="false">
              <v:path arrowok="t"/>
              <v:fill type="solid"/>
            </v:shape>
            <v:line style="position:absolute" from="1085,3725" to="1085,4016" stroked="true" strokeweight="1.92pt" strokecolor="#1e7a8b">
              <v:stroke dashstyle="solid"/>
            </v:line>
            <w10:wrap type="none"/>
          </v:group>
        </w:pict>
      </w:r>
    </w:p>
    <w:p>
      <w:pPr>
        <w:pStyle w:val="BodyText"/>
        <w:rPr>
          <w:rFonts w:ascii="Arial"/>
          <w:b w:val="0"/>
          <w:sz w:val="20"/>
        </w:rPr>
      </w:pPr>
    </w:p>
    <w:p>
      <w:pPr>
        <w:pStyle w:val="BodyText"/>
        <w:rPr>
          <w:rFonts w:ascii="Arial"/>
          <w:b w:val="0"/>
          <w:sz w:val="20"/>
        </w:rPr>
      </w:pPr>
    </w:p>
    <w:p>
      <w:pPr>
        <w:pStyle w:val="BodyText"/>
        <w:rPr>
          <w:rFonts w:ascii="Arial"/>
          <w:b w:val="0"/>
          <w:sz w:val="20"/>
        </w:rPr>
      </w:pPr>
    </w:p>
    <w:p>
      <w:pPr>
        <w:pStyle w:val="BodyText"/>
        <w:spacing w:before="5" w:after="1"/>
        <w:rPr>
          <w:rFonts w:ascii="Arial"/>
          <w:b w:val="0"/>
        </w:rPr>
      </w:pPr>
    </w:p>
    <w:p>
      <w:pPr>
        <w:pStyle w:val="BodyText"/>
        <w:ind w:left="764"/>
        <w:rPr>
          <w:rFonts w:ascii="Arial"/>
          <w:b w:val="0"/>
          <w:sz w:val="20"/>
        </w:rPr>
      </w:pPr>
      <w:r>
        <w:rPr>
          <w:rFonts w:ascii="Arial"/>
          <w:b w:val="0"/>
          <w:sz w:val="20"/>
        </w:rPr>
        <w:pict>
          <v:shape style="width:513.25pt;height:15.85pt;mso-position-horizontal-relative:char;mso-position-vertical-relative:line" type="#_x0000_t202" filled="true" fillcolor="#1e7a8b" stroked="false">
            <w10:anchorlock/>
            <v:textbox inset="0,0,0,0">
              <w:txbxContent>
                <w:p>
                  <w:pPr>
                    <w:spacing w:line="292" w:lineRule="exact" w:before="0"/>
                    <w:ind w:left="139" w:right="0" w:firstLine="0"/>
                    <w:jc w:val="left"/>
                    <w:rPr>
                      <w:b/>
                      <w:sz w:val="24"/>
                    </w:rPr>
                  </w:pPr>
                  <w:r>
                    <w:rPr>
                      <w:b/>
                      <w:color w:val="FFFFFF"/>
                      <w:sz w:val="24"/>
                    </w:rPr>
                    <w:t>BLOQUE B: MEDIDAS DE APOYO A PERSONAS CURATELADAS</w:t>
                  </w:r>
                </w:p>
              </w:txbxContent>
            </v:textbox>
            <v:fill type="solid"/>
          </v:shape>
        </w:pict>
      </w:r>
      <w:r>
        <w:rPr>
          <w:rFonts w:ascii="Arial"/>
          <w:b w:val="0"/>
          <w:sz w:val="20"/>
        </w:rPr>
      </w:r>
    </w:p>
    <w:p>
      <w:pPr>
        <w:pStyle w:val="BodyText"/>
        <w:rPr>
          <w:rFonts w:ascii="Arial"/>
          <w:b w:val="0"/>
          <w:sz w:val="20"/>
        </w:rPr>
      </w:pPr>
    </w:p>
    <w:p>
      <w:pPr>
        <w:pStyle w:val="BodyText"/>
        <w:rPr>
          <w:rFonts w:ascii="Arial"/>
          <w:b w:val="0"/>
          <w:sz w:val="20"/>
        </w:rPr>
      </w:pPr>
    </w:p>
    <w:p>
      <w:pPr>
        <w:pStyle w:val="BodyText"/>
        <w:spacing w:before="4"/>
        <w:rPr>
          <w:rFonts w:ascii="Arial"/>
          <w:b w:val="0"/>
          <w:sz w:val="10"/>
        </w:rPr>
      </w:pPr>
      <w:r>
        <w:rPr/>
        <w:pict>
          <v:shape style="position:absolute;margin-left:55.200001pt;margin-top:7.151953pt;width:513.25pt;height:14.55pt;mso-position-horizontal-relative:page;mso-position-vertical-relative:paragraph;z-index:-251626496;mso-wrap-distance-left:0;mso-wrap-distance-right:0" type="#_x0000_t202" filled="true" fillcolor="#f4f6f8" stroked="false">
            <v:textbox inset="0,0,0,0">
              <w:txbxContent>
                <w:p>
                  <w:pPr>
                    <w:pStyle w:val="BodyText"/>
                    <w:spacing w:line="268" w:lineRule="exact"/>
                    <w:ind w:left="129"/>
                  </w:pPr>
                  <w:r>
                    <w:rPr>
                      <w:color w:val="1E7A8B"/>
                    </w:rPr>
                    <w:t>B-01 – Área jurídica – Gestión y asistencia jurídica a personas bajo medidas de apoyo</w:t>
                  </w:r>
                </w:p>
              </w:txbxContent>
            </v:textbox>
            <v:fill type="solid"/>
            <w10:wrap type="topAndBottom"/>
          </v:shape>
        </w:pict>
      </w:r>
    </w:p>
    <w:p>
      <w:pPr>
        <w:pStyle w:val="BodyText"/>
        <w:spacing w:before="6"/>
        <w:rPr>
          <w:rFonts w:ascii="Arial"/>
          <w:b w:val="0"/>
          <w:sz w:val="5"/>
        </w:rPr>
      </w:pPr>
    </w:p>
    <w:tbl>
      <w:tblPr>
        <w:tblW w:w="0" w:type="auto"/>
        <w:jc w:val="left"/>
        <w:tblInd w:w="79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554" w:hRule="atLeast"/>
        </w:trPr>
        <w:tc>
          <w:tcPr>
            <w:tcW w:w="2802" w:type="dxa"/>
            <w:shd w:val="clear" w:color="auto" w:fill="C7DCEF"/>
          </w:tcPr>
          <w:p>
            <w:pPr>
              <w:pStyle w:val="TableParagraph"/>
              <w:spacing w:before="88"/>
              <w:ind w:left="132"/>
              <w:rPr>
                <w:b/>
                <w:sz w:val="16"/>
              </w:rPr>
            </w:pPr>
            <w:r>
              <w:rPr>
                <w:b/>
                <w:color w:val="1A3556"/>
                <w:sz w:val="16"/>
              </w:rPr>
              <w:t>Código</w:t>
            </w:r>
          </w:p>
        </w:tc>
        <w:tc>
          <w:tcPr>
            <w:tcW w:w="6560" w:type="dxa"/>
          </w:tcPr>
          <w:p>
            <w:pPr>
              <w:pStyle w:val="TableParagraph"/>
              <w:spacing w:before="77"/>
              <w:rPr>
                <w:sz w:val="18"/>
              </w:rPr>
            </w:pPr>
            <w:r>
              <w:rPr>
                <w:color w:val="1A1A2D"/>
                <w:sz w:val="18"/>
              </w:rPr>
              <w:t>B-01</w:t>
            </w:r>
          </w:p>
        </w:tc>
      </w:tr>
      <w:tr>
        <w:trPr>
          <w:trHeight w:val="554" w:hRule="atLeast"/>
        </w:trPr>
        <w:tc>
          <w:tcPr>
            <w:tcW w:w="2802" w:type="dxa"/>
            <w:shd w:val="clear" w:color="auto" w:fill="C7DCEF"/>
          </w:tcPr>
          <w:p>
            <w:pPr>
              <w:pStyle w:val="TableParagraph"/>
              <w:spacing w:before="88"/>
              <w:ind w:left="132"/>
              <w:rPr>
                <w:b/>
                <w:sz w:val="16"/>
              </w:rPr>
            </w:pPr>
            <w:r>
              <w:rPr>
                <w:b/>
                <w:color w:val="1A3556"/>
                <w:sz w:val="16"/>
              </w:rPr>
              <w:t>Nombre del tratamiento</w:t>
            </w:r>
          </w:p>
        </w:tc>
        <w:tc>
          <w:tcPr>
            <w:tcW w:w="6560" w:type="dxa"/>
            <w:shd w:val="clear" w:color="auto" w:fill="F4F6F8"/>
          </w:tcPr>
          <w:p>
            <w:pPr>
              <w:pStyle w:val="TableParagraph"/>
              <w:spacing w:before="77"/>
              <w:rPr>
                <w:sz w:val="18"/>
              </w:rPr>
            </w:pPr>
            <w:r>
              <w:rPr>
                <w:color w:val="1A1A2D"/>
                <w:sz w:val="18"/>
              </w:rPr>
              <w:t>Área jurídica – Gestión y asistencia jurídica a personas bajo medidas de apoyo</w:t>
            </w:r>
          </w:p>
        </w:tc>
      </w:tr>
      <w:tr>
        <w:trPr>
          <w:trHeight w:val="554" w:hRule="atLeast"/>
        </w:trPr>
        <w:tc>
          <w:tcPr>
            <w:tcW w:w="2802" w:type="dxa"/>
            <w:shd w:val="clear" w:color="auto" w:fill="C7DCEF"/>
          </w:tcPr>
          <w:p>
            <w:pPr>
              <w:pStyle w:val="TableParagraph"/>
              <w:spacing w:before="88"/>
              <w:ind w:left="132"/>
              <w:rPr>
                <w:b/>
                <w:sz w:val="16"/>
              </w:rPr>
            </w:pPr>
            <w:r>
              <w:rPr>
                <w:b/>
                <w:color w:val="1A3556"/>
                <w:sz w:val="16"/>
              </w:rPr>
              <w:t>Rol de FUCAS</w:t>
            </w:r>
          </w:p>
        </w:tc>
        <w:tc>
          <w:tcPr>
            <w:tcW w:w="6560" w:type="dxa"/>
          </w:tcPr>
          <w:p>
            <w:pPr>
              <w:pStyle w:val="TableParagraph"/>
              <w:spacing w:before="77"/>
              <w:rPr>
                <w:sz w:val="18"/>
              </w:rPr>
            </w:pPr>
            <w:r>
              <w:rPr>
                <w:color w:val="1A1A2D"/>
                <w:sz w:val="18"/>
              </w:rPr>
              <w:t>RESPONSABLE</w:t>
            </w:r>
          </w:p>
        </w:tc>
      </w:tr>
      <w:tr>
        <w:trPr>
          <w:trHeight w:val="1264" w:hRule="atLeast"/>
        </w:trPr>
        <w:tc>
          <w:tcPr>
            <w:tcW w:w="2802" w:type="dxa"/>
            <w:shd w:val="clear" w:color="auto" w:fill="C7DCEF"/>
          </w:tcPr>
          <w:p>
            <w:pPr>
              <w:pStyle w:val="TableParagraph"/>
              <w:ind w:left="0"/>
              <w:rPr>
                <w:rFonts w:ascii="Arial"/>
                <w:sz w:val="16"/>
              </w:rPr>
            </w:pPr>
          </w:p>
          <w:p>
            <w:pPr>
              <w:pStyle w:val="TableParagraph"/>
              <w:spacing w:before="7"/>
              <w:ind w:left="0"/>
              <w:rPr>
                <w:rFonts w:ascii="Arial"/>
                <w:sz w:val="22"/>
              </w:rPr>
            </w:pPr>
          </w:p>
          <w:p>
            <w:pPr>
              <w:pStyle w:val="TableParagraph"/>
              <w:ind w:left="132"/>
              <w:rPr>
                <w:b/>
                <w:sz w:val="16"/>
              </w:rPr>
            </w:pPr>
            <w:r>
              <w:rPr>
                <w:b/>
                <w:color w:val="1A3556"/>
                <w:sz w:val="16"/>
              </w:rPr>
              <w:t>Finalidad del tratamiento</w:t>
            </w:r>
          </w:p>
        </w:tc>
        <w:tc>
          <w:tcPr>
            <w:tcW w:w="6560" w:type="dxa"/>
            <w:tcBorders>
              <w:bottom w:val="single" w:sz="34" w:space="0" w:color="FFFFFF"/>
            </w:tcBorders>
            <w:shd w:val="clear" w:color="auto" w:fill="F4F6F8"/>
          </w:tcPr>
          <w:p>
            <w:pPr>
              <w:pStyle w:val="TableParagraph"/>
              <w:spacing w:line="256" w:lineRule="auto" w:before="79"/>
              <w:ind w:right="235"/>
              <w:rPr>
                <w:sz w:val="18"/>
              </w:rPr>
            </w:pPr>
            <w:r>
              <w:rPr>
                <w:color w:val="1A1A2D"/>
                <w:sz w:val="18"/>
              </w:rPr>
              <w:t>Gestión y asistencia jurídica a personas bajo medidas de apoyo (curatela, guarda de hecho, defensa judicial) asignadas a FUCAS por resolución judicial: representación legal, relación con juzgados, gestión de expedientes judiciales, defensa judicial y tramitación de modificaciones de la medida de apoyo.</w:t>
            </w:r>
          </w:p>
        </w:tc>
      </w:tr>
      <w:tr>
        <w:trPr>
          <w:trHeight w:val="1897" w:hRule="atLeast"/>
        </w:trPr>
        <w:tc>
          <w:tcPr>
            <w:tcW w:w="2802" w:type="dxa"/>
            <w:shd w:val="clear" w:color="auto" w:fill="C7DCEF"/>
          </w:tcPr>
          <w:p>
            <w:pPr>
              <w:pStyle w:val="TableParagraph"/>
              <w:ind w:left="0"/>
              <w:rPr>
                <w:rFonts w:ascii="Arial"/>
                <w:sz w:val="16"/>
              </w:rPr>
            </w:pPr>
          </w:p>
          <w:p>
            <w:pPr>
              <w:pStyle w:val="TableParagraph"/>
              <w:ind w:left="0"/>
              <w:rPr>
                <w:rFonts w:ascii="Arial"/>
                <w:sz w:val="16"/>
              </w:rPr>
            </w:pPr>
          </w:p>
          <w:p>
            <w:pPr>
              <w:pStyle w:val="TableParagraph"/>
              <w:ind w:left="0"/>
              <w:rPr>
                <w:rFonts w:ascii="Arial"/>
                <w:sz w:val="16"/>
              </w:rPr>
            </w:pPr>
          </w:p>
          <w:p>
            <w:pPr>
              <w:pStyle w:val="TableParagraph"/>
              <w:spacing w:before="9"/>
              <w:ind w:left="0"/>
              <w:rPr>
                <w:rFonts w:ascii="Arial"/>
                <w:sz w:val="14"/>
              </w:rPr>
            </w:pPr>
          </w:p>
          <w:p>
            <w:pPr>
              <w:pStyle w:val="TableParagraph"/>
              <w:ind w:left="132"/>
              <w:rPr>
                <w:b/>
                <w:sz w:val="16"/>
              </w:rPr>
            </w:pPr>
            <w:r>
              <w:rPr>
                <w:b/>
                <w:color w:val="1A3556"/>
                <w:sz w:val="16"/>
              </w:rPr>
              <w:t>Base jurídica</w:t>
            </w:r>
          </w:p>
        </w:tc>
        <w:tc>
          <w:tcPr>
            <w:tcW w:w="6560" w:type="dxa"/>
            <w:tcBorders>
              <w:top w:val="single" w:sz="34" w:space="0" w:color="FFFFFF"/>
            </w:tcBorders>
          </w:tcPr>
          <w:p>
            <w:pPr>
              <w:pStyle w:val="TableParagraph"/>
              <w:spacing w:line="259" w:lineRule="auto"/>
              <w:ind w:right="203"/>
              <w:rPr>
                <w:sz w:val="18"/>
              </w:rPr>
            </w:pPr>
            <w:r>
              <w:rPr>
                <w:color w:val="1A1A2D"/>
                <w:sz w:val="18"/>
              </w:rPr>
              <w:t>Art. 6.1.c) RGPD – Obligación legal; art. 9.2.b) y f) RGPD – datos de salud y procedimientos judiciales. Ley 8/2021, de 2 de junio, de reforma civil y procesal para el apoyo a personas con discapacidad (sustituye a los arts. 242 y 269 del Código Civil derogados); Ley 2/1998 de Fundaciones Canarias; art. 8 Estatutos FUCAS. [CORRECCIÓN v2.1: reemplazados arts. 242 y 269 CC derogados; actualizada terminología 'tutelados/incapacitados' a 'personas bajo medidas de apoyo/curateladas']</w:t>
            </w:r>
          </w:p>
        </w:tc>
      </w:tr>
      <w:tr>
        <w:trPr>
          <w:trHeight w:val="1502" w:hRule="atLeast"/>
        </w:trPr>
        <w:tc>
          <w:tcPr>
            <w:tcW w:w="2802" w:type="dxa"/>
            <w:shd w:val="clear" w:color="auto" w:fill="C7DCEF"/>
          </w:tcPr>
          <w:p>
            <w:pPr>
              <w:pStyle w:val="TableParagraph"/>
              <w:ind w:left="0"/>
              <w:rPr>
                <w:rFonts w:ascii="Arial"/>
                <w:sz w:val="16"/>
              </w:rPr>
            </w:pPr>
          </w:p>
          <w:p>
            <w:pPr>
              <w:pStyle w:val="TableParagraph"/>
              <w:ind w:left="0"/>
              <w:rPr>
                <w:rFonts w:ascii="Arial"/>
                <w:sz w:val="16"/>
              </w:rPr>
            </w:pPr>
          </w:p>
          <w:p>
            <w:pPr>
              <w:pStyle w:val="TableParagraph"/>
              <w:ind w:left="0"/>
              <w:rPr>
                <w:rFonts w:ascii="Arial"/>
                <w:sz w:val="17"/>
              </w:rPr>
            </w:pPr>
          </w:p>
          <w:p>
            <w:pPr>
              <w:pStyle w:val="TableParagraph"/>
              <w:spacing w:before="1"/>
              <w:ind w:left="132"/>
              <w:rPr>
                <w:b/>
                <w:sz w:val="16"/>
              </w:rPr>
            </w:pPr>
            <w:r>
              <w:rPr>
                <w:b/>
                <w:color w:val="1A3556"/>
                <w:sz w:val="16"/>
              </w:rPr>
              <w:t>Categorías de datos personales</w:t>
            </w:r>
          </w:p>
        </w:tc>
        <w:tc>
          <w:tcPr>
            <w:tcW w:w="6560" w:type="dxa"/>
            <w:tcBorders>
              <w:bottom w:val="single" w:sz="34" w:space="0" w:color="FFFFFF"/>
            </w:tcBorders>
            <w:shd w:val="clear" w:color="auto" w:fill="F4F6F8"/>
          </w:tcPr>
          <w:p>
            <w:pPr>
              <w:pStyle w:val="TableParagraph"/>
              <w:spacing w:line="259" w:lineRule="auto" w:before="79"/>
              <w:ind w:right="115"/>
              <w:rPr>
                <w:sz w:val="18"/>
              </w:rPr>
            </w:pPr>
            <w:r>
              <w:rPr>
                <w:color w:val="1A1A2D"/>
                <w:sz w:val="18"/>
              </w:rPr>
              <w:t>CATEGORÍAS ESPECIALES: Datos de salud (informes médicos, psiquiátricos, historial clínico). Datos ordinarios: identificativos (nombre, apellidos, DNI/NIF, email, teléfono, dirección, firma, Nº Seguridad Social, mutualidad); datos económicos, financieros y de seguros; características personales; circunstancias sociales; datos judiciales (sentencias, resoluciones de apoyo).</w:t>
            </w:r>
          </w:p>
        </w:tc>
      </w:tr>
      <w:tr>
        <w:trPr>
          <w:trHeight w:val="947" w:hRule="atLeast"/>
        </w:trPr>
        <w:tc>
          <w:tcPr>
            <w:tcW w:w="2802" w:type="dxa"/>
            <w:shd w:val="clear" w:color="auto" w:fill="C7DCEF"/>
          </w:tcPr>
          <w:p>
            <w:pPr>
              <w:pStyle w:val="TableParagraph"/>
              <w:spacing w:before="5"/>
              <w:ind w:left="0"/>
              <w:rPr>
                <w:rFonts w:ascii="Arial"/>
                <w:sz w:val="21"/>
              </w:rPr>
            </w:pPr>
          </w:p>
          <w:p>
            <w:pPr>
              <w:pStyle w:val="TableParagraph"/>
              <w:ind w:left="132"/>
              <w:rPr>
                <w:b/>
                <w:sz w:val="16"/>
              </w:rPr>
            </w:pPr>
            <w:r>
              <w:rPr>
                <w:b/>
                <w:color w:val="1A3556"/>
                <w:sz w:val="16"/>
              </w:rPr>
              <w:t>Colectivos de interesados</w:t>
            </w:r>
          </w:p>
        </w:tc>
        <w:tc>
          <w:tcPr>
            <w:tcW w:w="6560" w:type="dxa"/>
            <w:tcBorders>
              <w:top w:val="single" w:sz="34" w:space="0" w:color="FFFFFF"/>
            </w:tcBorders>
          </w:tcPr>
          <w:p>
            <w:pPr>
              <w:pStyle w:val="TableParagraph"/>
              <w:spacing w:line="259" w:lineRule="auto"/>
              <w:ind w:right="132"/>
              <w:rPr>
                <w:sz w:val="18"/>
              </w:rPr>
            </w:pPr>
            <w:r>
              <w:rPr>
                <w:color w:val="1A1A2D"/>
                <w:sz w:val="18"/>
              </w:rPr>
              <w:t>Personas con discapacidad bajo medidas de apoyo gestionadas por FUCAS (personas curateladas). [CORRECCIÓN v2.1: actualizado desde 'personas incapacitadas/tuteladas']</w:t>
            </w:r>
          </w:p>
        </w:tc>
      </w:tr>
      <w:tr>
        <w:trPr>
          <w:trHeight w:val="1028" w:hRule="atLeast"/>
        </w:trPr>
        <w:tc>
          <w:tcPr>
            <w:tcW w:w="2802" w:type="dxa"/>
            <w:shd w:val="clear" w:color="auto" w:fill="C7DCEF"/>
          </w:tcPr>
          <w:p>
            <w:pPr>
              <w:pStyle w:val="TableParagraph"/>
              <w:ind w:left="0"/>
              <w:rPr>
                <w:rFonts w:ascii="Arial"/>
                <w:sz w:val="16"/>
              </w:rPr>
            </w:pPr>
          </w:p>
          <w:p>
            <w:pPr>
              <w:pStyle w:val="TableParagraph"/>
              <w:spacing w:before="6"/>
              <w:ind w:left="0"/>
              <w:rPr>
                <w:rFonts w:ascii="Arial"/>
                <w:sz w:val="12"/>
              </w:rPr>
            </w:pPr>
          </w:p>
          <w:p>
            <w:pPr>
              <w:pStyle w:val="TableParagraph"/>
              <w:ind w:left="132"/>
              <w:rPr>
                <w:b/>
                <w:sz w:val="16"/>
              </w:rPr>
            </w:pPr>
            <w:r>
              <w:rPr>
                <w:b/>
                <w:color w:val="1A3556"/>
                <w:sz w:val="16"/>
              </w:rPr>
              <w:t>Destinatarios / Cesionarios</w:t>
            </w:r>
          </w:p>
        </w:tc>
        <w:tc>
          <w:tcPr>
            <w:tcW w:w="6560" w:type="dxa"/>
            <w:tcBorders>
              <w:bottom w:val="single" w:sz="34" w:space="0" w:color="FFFFFF"/>
            </w:tcBorders>
            <w:shd w:val="clear" w:color="auto" w:fill="F4F6F8"/>
          </w:tcPr>
          <w:p>
            <w:pPr>
              <w:pStyle w:val="TableParagraph"/>
              <w:spacing w:line="256" w:lineRule="auto" w:before="81"/>
              <w:ind w:right="235"/>
              <w:rPr>
                <w:sz w:val="18"/>
              </w:rPr>
            </w:pPr>
            <w:r>
              <w:rPr>
                <w:color w:val="1A1A2D"/>
                <w:sz w:val="18"/>
              </w:rPr>
              <w:t>Gobierno de Canarias – Consejería de Bienestar Social (encargo y supervisión); Tesorería General de la Seguridad Social; Juzgados y Tribunales; entidades bancarias (gestión patrimonial); Ministerio Fiscal.</w:t>
            </w:r>
          </w:p>
        </w:tc>
      </w:tr>
      <w:tr>
        <w:trPr>
          <w:trHeight w:val="712" w:hRule="atLeast"/>
        </w:trPr>
        <w:tc>
          <w:tcPr>
            <w:tcW w:w="2802" w:type="dxa"/>
            <w:shd w:val="clear" w:color="auto" w:fill="C7DCEF"/>
          </w:tcPr>
          <w:p>
            <w:pPr>
              <w:pStyle w:val="TableParagraph"/>
              <w:spacing w:before="129"/>
              <w:ind w:left="132"/>
              <w:rPr>
                <w:b/>
                <w:sz w:val="16"/>
              </w:rPr>
            </w:pPr>
            <w:r>
              <w:rPr>
                <w:b/>
                <w:color w:val="1A3556"/>
                <w:sz w:val="16"/>
              </w:rPr>
              <w:t>Plazo de conservación</w:t>
            </w:r>
          </w:p>
        </w:tc>
        <w:tc>
          <w:tcPr>
            <w:tcW w:w="6560" w:type="dxa"/>
            <w:tcBorders>
              <w:top w:val="single" w:sz="34" w:space="0" w:color="FFFFFF"/>
            </w:tcBorders>
          </w:tcPr>
          <w:p>
            <w:pPr>
              <w:pStyle w:val="TableParagraph"/>
              <w:spacing w:line="256" w:lineRule="auto"/>
              <w:ind w:right="517"/>
              <w:rPr>
                <w:sz w:val="18"/>
              </w:rPr>
            </w:pPr>
            <w:r>
              <w:rPr>
                <w:color w:val="1A1A2D"/>
                <w:sz w:val="18"/>
              </w:rPr>
              <w:t>Mientras dure la medida de apoyo. Expediente judicial: 10 años tras la extinción. Datos de gestión corriente: 5 años.</w:t>
            </w:r>
          </w:p>
        </w:tc>
      </w:tr>
      <w:tr>
        <w:trPr>
          <w:trHeight w:val="554" w:hRule="atLeast"/>
        </w:trPr>
        <w:tc>
          <w:tcPr>
            <w:tcW w:w="2802" w:type="dxa"/>
            <w:shd w:val="clear" w:color="auto" w:fill="C7DCEF"/>
          </w:tcPr>
          <w:p>
            <w:pPr>
              <w:pStyle w:val="TableParagraph"/>
              <w:spacing w:before="88"/>
              <w:ind w:left="132"/>
              <w:rPr>
                <w:b/>
                <w:sz w:val="16"/>
              </w:rPr>
            </w:pPr>
            <w:r>
              <w:rPr>
                <w:b/>
                <w:color w:val="1A3556"/>
                <w:sz w:val="16"/>
              </w:rPr>
              <w:t>Transferencias internacionales</w:t>
            </w:r>
          </w:p>
        </w:tc>
        <w:tc>
          <w:tcPr>
            <w:tcW w:w="6560" w:type="dxa"/>
            <w:shd w:val="clear" w:color="auto" w:fill="F4F6F8"/>
          </w:tcPr>
          <w:p>
            <w:pPr>
              <w:pStyle w:val="TableParagraph"/>
              <w:spacing w:before="77"/>
              <w:rPr>
                <w:sz w:val="18"/>
              </w:rPr>
            </w:pPr>
            <w:r>
              <w:rPr>
                <w:color w:val="1A1A2D"/>
                <w:sz w:val="18"/>
              </w:rPr>
              <w:t>No se realizan transferencias internacionales de datos personales.</w:t>
            </w:r>
          </w:p>
        </w:tc>
      </w:tr>
      <w:tr>
        <w:trPr>
          <w:trHeight w:val="1026" w:hRule="atLeast"/>
        </w:trPr>
        <w:tc>
          <w:tcPr>
            <w:tcW w:w="2802" w:type="dxa"/>
            <w:shd w:val="clear" w:color="auto" w:fill="C7DCEF"/>
          </w:tcPr>
          <w:p>
            <w:pPr>
              <w:pStyle w:val="TableParagraph"/>
              <w:spacing w:before="4"/>
              <w:ind w:left="0"/>
              <w:rPr>
                <w:rFonts w:ascii="Arial"/>
                <w:sz w:val="19"/>
              </w:rPr>
            </w:pPr>
          </w:p>
          <w:p>
            <w:pPr>
              <w:pStyle w:val="TableParagraph"/>
              <w:spacing w:line="256" w:lineRule="auto"/>
              <w:ind w:left="132" w:right="267"/>
              <w:rPr>
                <w:b/>
                <w:sz w:val="16"/>
              </w:rPr>
            </w:pPr>
            <w:r>
              <w:rPr>
                <w:b/>
                <w:color w:val="1A3556"/>
                <w:sz w:val="16"/>
              </w:rPr>
              <w:t>Medidas técnicas y organizativas de seguridad</w:t>
            </w:r>
          </w:p>
        </w:tc>
        <w:tc>
          <w:tcPr>
            <w:tcW w:w="6560" w:type="dxa"/>
          </w:tcPr>
          <w:p>
            <w:pPr>
              <w:pStyle w:val="TableParagraph"/>
              <w:spacing w:line="259" w:lineRule="auto" w:before="79"/>
              <w:ind w:right="108"/>
              <w:rPr>
                <w:sz w:val="18"/>
              </w:rPr>
            </w:pPr>
            <w:r>
              <w:rPr>
                <w:color w:val="1A1A2D"/>
                <w:sz w:val="18"/>
              </w:rPr>
              <w:t>Acceso restringido al personal jurídico asignado al expediente; secreto profesional del abogado; cifrado de comunicaciones con juzgados; registro de accesos; medidas ENS RD 311/2022.</w:t>
            </w:r>
          </w:p>
        </w:tc>
      </w:tr>
    </w:tbl>
    <w:p>
      <w:pPr>
        <w:pStyle w:val="BodyText"/>
        <w:rPr>
          <w:rFonts w:ascii="Arial"/>
          <w:b w:val="0"/>
          <w:sz w:val="20"/>
        </w:rPr>
      </w:pPr>
    </w:p>
    <w:p>
      <w:pPr>
        <w:pStyle w:val="BodyText"/>
        <w:spacing w:before="7"/>
        <w:rPr>
          <w:rFonts w:ascii="Arial"/>
          <w:b w:val="0"/>
          <w:sz w:val="27"/>
        </w:rPr>
      </w:pPr>
    </w:p>
    <w:p>
      <w:pPr>
        <w:spacing w:before="56"/>
        <w:ind w:left="906" w:right="261" w:firstLine="0"/>
        <w:jc w:val="center"/>
        <w:rPr>
          <w:sz w:val="22"/>
        </w:rPr>
      </w:pPr>
      <w:r>
        <w:rPr>
          <w:color w:val="4471C4"/>
          <w:sz w:val="22"/>
        </w:rPr>
        <w:t>17</w:t>
      </w:r>
    </w:p>
    <w:p>
      <w:pPr>
        <w:spacing w:after="0"/>
        <w:jc w:val="center"/>
        <w:rPr>
          <w:sz w:val="22"/>
        </w:rPr>
        <w:sectPr>
          <w:pgSz w:w="11910" w:h="16840"/>
          <w:pgMar w:top="1580" w:bottom="280" w:left="340" w:right="420"/>
        </w:sectPr>
      </w:pPr>
    </w:p>
    <w:p>
      <w:pPr>
        <w:spacing w:line="240" w:lineRule="auto" w:before="0"/>
        <w:rPr>
          <w:sz w:val="20"/>
        </w:rPr>
      </w:pPr>
      <w:r>
        <w:rPr/>
        <w:pict>
          <v:group style="position:absolute;margin-left:.000009pt;margin-top:36.832428pt;width:559.9pt;height:765.7pt;mso-position-horizontal-relative:page;mso-position-vertical-relative:page;z-index:-254789632" coordorigin="0,737" coordsize="11198,15314">
            <v:shape style="position:absolute;left:0;top:736;width:11198;height:15314" type="#_x0000_t75" stroked="false">
              <v:imagedata r:id="rId5" o:title=""/>
            </v:shape>
            <v:line style="position:absolute" from="1085,4565" to="1085,4856" stroked="true" strokeweight="1.92pt" strokecolor="#1e7a8b">
              <v:stroke dashstyle="solid"/>
            </v:line>
            <w10:wrap type="none"/>
          </v:group>
        </w:pict>
      </w:r>
    </w:p>
    <w:p>
      <w:pPr>
        <w:spacing w:line="240" w:lineRule="auto" w:before="0"/>
        <w:rPr>
          <w:sz w:val="20"/>
        </w:rPr>
      </w:pPr>
    </w:p>
    <w:p>
      <w:pPr>
        <w:spacing w:line="240" w:lineRule="auto" w:before="10" w:after="1"/>
        <w:rPr>
          <w:sz w:val="14"/>
        </w:rPr>
      </w:pPr>
    </w:p>
    <w:tbl>
      <w:tblPr>
        <w:tblW w:w="0" w:type="auto"/>
        <w:jc w:val="left"/>
        <w:tblInd w:w="79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554" w:hRule="atLeast"/>
        </w:trPr>
        <w:tc>
          <w:tcPr>
            <w:tcW w:w="2802" w:type="dxa"/>
            <w:shd w:val="clear" w:color="auto" w:fill="C7DCEF"/>
          </w:tcPr>
          <w:p>
            <w:pPr>
              <w:pStyle w:val="TableParagraph"/>
              <w:spacing w:before="91"/>
              <w:ind w:left="132"/>
              <w:rPr>
                <w:b/>
                <w:sz w:val="16"/>
              </w:rPr>
            </w:pPr>
            <w:r>
              <w:rPr>
                <w:b/>
                <w:color w:val="1A3556"/>
                <w:sz w:val="16"/>
              </w:rPr>
              <w:t>Encargados del tratamiento</w:t>
            </w:r>
          </w:p>
        </w:tc>
        <w:tc>
          <w:tcPr>
            <w:tcW w:w="6560" w:type="dxa"/>
            <w:shd w:val="clear" w:color="auto" w:fill="F4F6F8"/>
          </w:tcPr>
          <w:p>
            <w:pPr>
              <w:pStyle w:val="TableParagraph"/>
              <w:spacing w:before="77"/>
              <w:rPr>
                <w:sz w:val="18"/>
              </w:rPr>
            </w:pPr>
            <w:r>
              <w:rPr>
                <w:color w:val="1A1A2D"/>
                <w:sz w:val="18"/>
              </w:rPr>
              <w:t>No aplica para este tratamiento.</w:t>
            </w:r>
          </w:p>
        </w:tc>
      </w:tr>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Nivel de riesgo / EIPD</w:t>
            </w:r>
          </w:p>
        </w:tc>
        <w:tc>
          <w:tcPr>
            <w:tcW w:w="6560" w:type="dxa"/>
            <w:shd w:val="clear" w:color="auto" w:fill="FFDFD5"/>
          </w:tcPr>
          <w:p>
            <w:pPr>
              <w:pStyle w:val="TableParagraph"/>
              <w:spacing w:line="256" w:lineRule="auto" w:before="79"/>
              <w:ind w:right="116"/>
              <w:rPr>
                <w:sz w:val="18"/>
              </w:rPr>
            </w:pPr>
            <w:r>
              <w:rPr>
                <w:color w:val="1A1A2D"/>
                <w:sz w:val="18"/>
              </w:rPr>
              <w:t>MUY ALTO – Datos de salud y datos judiciales de personas especialmente vulnerables. Requiere EIPD.</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1"/>
        <w:rPr>
          <w:sz w:val="14"/>
        </w:rPr>
      </w:pPr>
      <w:r>
        <w:rPr/>
        <w:pict>
          <v:shape style="position:absolute;margin-left:55.200001pt;margin-top:10.298906pt;width:513.25pt;height:14.55pt;mso-position-horizontal-relative:page;mso-position-vertical-relative:paragraph;z-index:-251624448;mso-wrap-distance-left:0;mso-wrap-distance-right:0" type="#_x0000_t202" filled="true" fillcolor="#f4f6f8" stroked="false">
            <v:textbox inset="0,0,0,0">
              <w:txbxContent>
                <w:p>
                  <w:pPr>
                    <w:pStyle w:val="BodyText"/>
                    <w:spacing w:line="268" w:lineRule="exact"/>
                    <w:ind w:left="129"/>
                  </w:pPr>
                  <w:r>
                    <w:rPr>
                      <w:color w:val="1E7A8B"/>
                    </w:rPr>
                    <w:t>B-02 – Área social – Gestión de pensiones, citas médicas y acción social de la gestión tutelar</w:t>
                  </w:r>
                </w:p>
              </w:txbxContent>
            </v:textbox>
            <v:fill type="solid"/>
            <w10:wrap type="topAndBottom"/>
          </v:shape>
        </w:pict>
      </w:r>
    </w:p>
    <w:p>
      <w:pPr>
        <w:spacing w:line="240" w:lineRule="auto" w:before="3" w:after="0"/>
        <w:rPr>
          <w:sz w:val="5"/>
        </w:rPr>
      </w:pPr>
    </w:p>
    <w:tbl>
      <w:tblPr>
        <w:tblW w:w="0" w:type="auto"/>
        <w:jc w:val="left"/>
        <w:tblInd w:w="79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554" w:hRule="atLeast"/>
        </w:trPr>
        <w:tc>
          <w:tcPr>
            <w:tcW w:w="2802" w:type="dxa"/>
            <w:shd w:val="clear" w:color="auto" w:fill="C7DCEF"/>
          </w:tcPr>
          <w:p>
            <w:pPr>
              <w:pStyle w:val="TableParagraph"/>
              <w:spacing w:before="91"/>
              <w:ind w:left="132"/>
              <w:rPr>
                <w:b/>
                <w:sz w:val="16"/>
              </w:rPr>
            </w:pPr>
            <w:r>
              <w:rPr>
                <w:b/>
                <w:color w:val="1A3556"/>
                <w:sz w:val="16"/>
              </w:rPr>
              <w:t>Código</w:t>
            </w:r>
          </w:p>
        </w:tc>
        <w:tc>
          <w:tcPr>
            <w:tcW w:w="6560" w:type="dxa"/>
          </w:tcPr>
          <w:p>
            <w:pPr>
              <w:pStyle w:val="TableParagraph"/>
              <w:spacing w:before="77"/>
              <w:rPr>
                <w:sz w:val="18"/>
              </w:rPr>
            </w:pPr>
            <w:r>
              <w:rPr>
                <w:color w:val="1A1A2D"/>
                <w:sz w:val="18"/>
              </w:rPr>
              <w:t>B-02</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Nombre del tratamiento</w:t>
            </w:r>
          </w:p>
        </w:tc>
        <w:tc>
          <w:tcPr>
            <w:tcW w:w="6560" w:type="dxa"/>
            <w:shd w:val="clear" w:color="auto" w:fill="F4F6F8"/>
          </w:tcPr>
          <w:p>
            <w:pPr>
              <w:pStyle w:val="TableParagraph"/>
              <w:spacing w:before="77"/>
              <w:rPr>
                <w:sz w:val="18"/>
              </w:rPr>
            </w:pPr>
            <w:r>
              <w:rPr>
                <w:color w:val="1A1A2D"/>
                <w:sz w:val="18"/>
              </w:rPr>
              <w:t>Área social – Gestión de pensiones, citas médicas y acción social de la gestión tutelar</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Rol de FUCAS</w:t>
            </w:r>
          </w:p>
        </w:tc>
        <w:tc>
          <w:tcPr>
            <w:tcW w:w="6560" w:type="dxa"/>
          </w:tcPr>
          <w:p>
            <w:pPr>
              <w:pStyle w:val="TableParagraph"/>
              <w:spacing w:before="77"/>
              <w:rPr>
                <w:sz w:val="18"/>
              </w:rPr>
            </w:pPr>
            <w:r>
              <w:rPr>
                <w:color w:val="1A1A2D"/>
                <w:sz w:val="18"/>
              </w:rPr>
              <w:t>RESPONSABLE</w:t>
            </w:r>
          </w:p>
        </w:tc>
      </w:tr>
      <w:tr>
        <w:trPr>
          <w:trHeight w:val="1264" w:hRule="atLeast"/>
        </w:trPr>
        <w:tc>
          <w:tcPr>
            <w:tcW w:w="2802" w:type="dxa"/>
            <w:shd w:val="clear" w:color="auto" w:fill="C7DCEF"/>
          </w:tcPr>
          <w:p>
            <w:pPr>
              <w:pStyle w:val="TableParagraph"/>
              <w:ind w:left="0"/>
              <w:rPr>
                <w:sz w:val="16"/>
              </w:rPr>
            </w:pPr>
          </w:p>
          <w:p>
            <w:pPr>
              <w:pStyle w:val="TableParagraph"/>
              <w:spacing w:before="6"/>
              <w:ind w:left="0"/>
              <w:rPr>
                <w:sz w:val="20"/>
              </w:rPr>
            </w:pPr>
          </w:p>
          <w:p>
            <w:pPr>
              <w:pStyle w:val="TableParagraph"/>
              <w:spacing w:before="1"/>
              <w:ind w:left="132"/>
              <w:rPr>
                <w:b/>
                <w:sz w:val="16"/>
              </w:rPr>
            </w:pPr>
            <w:r>
              <w:rPr>
                <w:b/>
                <w:color w:val="1A3556"/>
                <w:sz w:val="16"/>
              </w:rPr>
              <w:t>Finalidad del tratamiento</w:t>
            </w:r>
          </w:p>
        </w:tc>
        <w:tc>
          <w:tcPr>
            <w:tcW w:w="6560" w:type="dxa"/>
            <w:tcBorders>
              <w:bottom w:val="single" w:sz="34" w:space="0" w:color="FFFFFF"/>
            </w:tcBorders>
            <w:shd w:val="clear" w:color="auto" w:fill="F4F6F8"/>
          </w:tcPr>
          <w:p>
            <w:pPr>
              <w:pStyle w:val="TableParagraph"/>
              <w:spacing w:line="259" w:lineRule="auto" w:before="79"/>
              <w:ind w:right="235"/>
              <w:rPr>
                <w:sz w:val="18"/>
              </w:rPr>
            </w:pPr>
            <w:r>
              <w:rPr>
                <w:color w:val="1A1A2D"/>
                <w:sz w:val="18"/>
              </w:rPr>
              <w:t>Gestión y tramitación de pensiones de la Seguridad Social y pensiones del Gobierno de Canarias, citas médicas y todas las actividades relativas a la acción social de las personas bajo medidas de apoyo: coordinación con servicios sanitarios, sociales y administrativos para cubrir las necesidades de la persona curatelada.</w:t>
            </w:r>
          </w:p>
        </w:tc>
      </w:tr>
      <w:tr>
        <w:trPr>
          <w:trHeight w:val="712" w:hRule="atLeast"/>
        </w:trPr>
        <w:tc>
          <w:tcPr>
            <w:tcW w:w="2802" w:type="dxa"/>
            <w:shd w:val="clear" w:color="auto" w:fill="C7DCEF"/>
          </w:tcPr>
          <w:p>
            <w:pPr>
              <w:pStyle w:val="TableParagraph"/>
              <w:spacing w:before="131"/>
              <w:ind w:left="132"/>
              <w:rPr>
                <w:b/>
                <w:sz w:val="16"/>
              </w:rPr>
            </w:pPr>
            <w:r>
              <w:rPr>
                <w:b/>
                <w:color w:val="1A3556"/>
                <w:sz w:val="16"/>
              </w:rPr>
              <w:t>Base jurídica</w:t>
            </w:r>
          </w:p>
        </w:tc>
        <w:tc>
          <w:tcPr>
            <w:tcW w:w="6560" w:type="dxa"/>
            <w:tcBorders>
              <w:top w:val="single" w:sz="34" w:space="0" w:color="FFFFFF"/>
            </w:tcBorders>
          </w:tcPr>
          <w:p>
            <w:pPr>
              <w:pStyle w:val="TableParagraph"/>
              <w:spacing w:line="254" w:lineRule="auto" w:before="2"/>
              <w:ind w:right="135"/>
              <w:rPr>
                <w:sz w:val="18"/>
              </w:rPr>
            </w:pPr>
            <w:r>
              <w:rPr>
                <w:color w:val="1A1A2D"/>
                <w:sz w:val="18"/>
              </w:rPr>
              <w:t>Art. 6.1.c) RGPD – Obligación legal; art. 9.2.b) RGPD. Ley 8/2021 (reforma de apoyos a personas con discapacidad); LGSS; Ley 2/1998 de Fundaciones Canarias.</w:t>
            </w:r>
          </w:p>
        </w:tc>
      </w:tr>
      <w:tr>
        <w:trPr>
          <w:trHeight w:val="1267" w:hRule="atLeast"/>
        </w:trPr>
        <w:tc>
          <w:tcPr>
            <w:tcW w:w="2802" w:type="dxa"/>
            <w:shd w:val="clear" w:color="auto" w:fill="C7DCEF"/>
          </w:tcPr>
          <w:p>
            <w:pPr>
              <w:pStyle w:val="TableParagraph"/>
              <w:ind w:left="0"/>
              <w:rPr>
                <w:sz w:val="16"/>
              </w:rPr>
            </w:pPr>
          </w:p>
          <w:p>
            <w:pPr>
              <w:pStyle w:val="TableParagraph"/>
              <w:spacing w:before="6"/>
              <w:ind w:left="0"/>
              <w:rPr>
                <w:sz w:val="20"/>
              </w:rPr>
            </w:pPr>
          </w:p>
          <w:p>
            <w:pPr>
              <w:pStyle w:val="TableParagraph"/>
              <w:spacing w:before="1"/>
              <w:ind w:left="132"/>
              <w:rPr>
                <w:b/>
                <w:sz w:val="16"/>
              </w:rPr>
            </w:pPr>
            <w:r>
              <w:rPr>
                <w:b/>
                <w:color w:val="1A3556"/>
                <w:sz w:val="16"/>
              </w:rPr>
              <w:t>Categorías de datos personales</w:t>
            </w:r>
          </w:p>
        </w:tc>
        <w:tc>
          <w:tcPr>
            <w:tcW w:w="6560" w:type="dxa"/>
            <w:tcBorders>
              <w:bottom w:val="single" w:sz="34" w:space="0" w:color="FFFFFF"/>
            </w:tcBorders>
            <w:shd w:val="clear" w:color="auto" w:fill="F4F6F8"/>
          </w:tcPr>
          <w:p>
            <w:pPr>
              <w:pStyle w:val="TableParagraph"/>
              <w:spacing w:line="259" w:lineRule="auto" w:before="79"/>
              <w:ind w:right="235"/>
              <w:rPr>
                <w:sz w:val="18"/>
              </w:rPr>
            </w:pPr>
            <w:r>
              <w:rPr>
                <w:color w:val="1A1A2D"/>
                <w:sz w:val="18"/>
              </w:rPr>
              <w:t>CATEGORÍAS ESPECIALES: Datos de salud (informes médicos, citas, tratamientos). Datos ordinarios: identificativos (nombre, apellidos, DNI/NIF, email, teléfono, dirección, firma, Nº Seguridad Social, mutualidad); datos económicos y financieros; características personales; circunstancias sociales.</w:t>
            </w:r>
          </w:p>
        </w:tc>
      </w:tr>
      <w:tr>
        <w:trPr>
          <w:trHeight w:val="474" w:hRule="atLeast"/>
        </w:trPr>
        <w:tc>
          <w:tcPr>
            <w:tcW w:w="2802" w:type="dxa"/>
            <w:shd w:val="clear" w:color="auto" w:fill="C7DCEF"/>
          </w:tcPr>
          <w:p>
            <w:pPr>
              <w:pStyle w:val="TableParagraph"/>
              <w:spacing w:before="9"/>
              <w:ind w:left="132"/>
              <w:rPr>
                <w:b/>
                <w:sz w:val="16"/>
              </w:rPr>
            </w:pPr>
            <w:r>
              <w:rPr>
                <w:b/>
                <w:color w:val="1A3556"/>
                <w:sz w:val="16"/>
              </w:rPr>
              <w:t>Colectivos de interesados</w:t>
            </w:r>
          </w:p>
        </w:tc>
        <w:tc>
          <w:tcPr>
            <w:tcW w:w="6560" w:type="dxa"/>
            <w:tcBorders>
              <w:top w:val="single" w:sz="34" w:space="0" w:color="FFFFFF"/>
            </w:tcBorders>
          </w:tcPr>
          <w:p>
            <w:pPr>
              <w:pStyle w:val="TableParagraph"/>
              <w:spacing w:line="217" w:lineRule="exact"/>
              <w:rPr>
                <w:sz w:val="18"/>
              </w:rPr>
            </w:pPr>
            <w:r>
              <w:rPr>
                <w:color w:val="1A1A2D"/>
                <w:sz w:val="18"/>
              </w:rPr>
              <w:t>Personas con discapacidad bajo medidas de apoyo gestionadas por FUCAS.</w:t>
            </w:r>
          </w:p>
        </w:tc>
      </w:tr>
      <w:tr>
        <w:trPr>
          <w:trHeight w:val="789"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Destinatarios / Cesionarios</w:t>
            </w:r>
          </w:p>
        </w:tc>
        <w:tc>
          <w:tcPr>
            <w:tcW w:w="6560" w:type="dxa"/>
            <w:tcBorders>
              <w:bottom w:val="single" w:sz="34" w:space="0" w:color="FFFFFF"/>
            </w:tcBorders>
            <w:shd w:val="clear" w:color="auto" w:fill="F4F6F8"/>
          </w:tcPr>
          <w:p>
            <w:pPr>
              <w:pStyle w:val="TableParagraph"/>
              <w:spacing w:line="256" w:lineRule="auto" w:before="79"/>
              <w:rPr>
                <w:sz w:val="18"/>
              </w:rPr>
            </w:pPr>
            <w:r>
              <w:rPr>
                <w:color w:val="1A1A2D"/>
                <w:sz w:val="18"/>
              </w:rPr>
              <w:t>Gobierno de Canarias – Consejería de Bienestar Social; Tesorería General de la Seguridad Social; Servicio Canario de Salud.</w:t>
            </w:r>
          </w:p>
        </w:tc>
      </w:tr>
      <w:tr>
        <w:trPr>
          <w:trHeight w:val="712" w:hRule="atLeast"/>
        </w:trPr>
        <w:tc>
          <w:tcPr>
            <w:tcW w:w="2802" w:type="dxa"/>
            <w:shd w:val="clear" w:color="auto" w:fill="C7DCEF"/>
          </w:tcPr>
          <w:p>
            <w:pPr>
              <w:pStyle w:val="TableParagraph"/>
              <w:spacing w:before="129"/>
              <w:ind w:left="132"/>
              <w:rPr>
                <w:b/>
                <w:sz w:val="16"/>
              </w:rPr>
            </w:pPr>
            <w:r>
              <w:rPr>
                <w:b/>
                <w:color w:val="1A3556"/>
                <w:sz w:val="16"/>
              </w:rPr>
              <w:t>Plazo de conservación</w:t>
            </w:r>
          </w:p>
        </w:tc>
        <w:tc>
          <w:tcPr>
            <w:tcW w:w="6560" w:type="dxa"/>
            <w:tcBorders>
              <w:top w:val="single" w:sz="34" w:space="0" w:color="FFFFFF"/>
            </w:tcBorders>
          </w:tcPr>
          <w:p>
            <w:pPr>
              <w:pStyle w:val="TableParagraph"/>
              <w:spacing w:line="254" w:lineRule="auto" w:before="2"/>
              <w:ind w:right="162"/>
              <w:rPr>
                <w:sz w:val="18"/>
              </w:rPr>
            </w:pPr>
            <w:r>
              <w:rPr>
                <w:color w:val="1A1A2D"/>
                <w:sz w:val="18"/>
              </w:rPr>
              <w:t>Mientras dure la medida de apoyo. Expediente social: 10 años tras la extinción. Datos de pensiones: hasta prescripción de derechos (5 años).</w:t>
            </w:r>
          </w:p>
        </w:tc>
      </w:tr>
      <w:tr>
        <w:trPr>
          <w:trHeight w:val="553" w:hRule="atLeast"/>
        </w:trPr>
        <w:tc>
          <w:tcPr>
            <w:tcW w:w="2802" w:type="dxa"/>
            <w:shd w:val="clear" w:color="auto" w:fill="C7DCEF"/>
          </w:tcPr>
          <w:p>
            <w:pPr>
              <w:pStyle w:val="TableParagraph"/>
              <w:spacing w:before="91"/>
              <w:ind w:left="132"/>
              <w:rPr>
                <w:b/>
                <w:sz w:val="16"/>
              </w:rPr>
            </w:pPr>
            <w:r>
              <w:rPr>
                <w:b/>
                <w:color w:val="1A3556"/>
                <w:sz w:val="16"/>
              </w:rPr>
              <w:t>Transferencias internacionales</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No se realizan transferencias internacionales de datos personales.</w:t>
            </w:r>
          </w:p>
        </w:tc>
      </w:tr>
      <w:tr>
        <w:trPr>
          <w:trHeight w:val="712" w:hRule="atLeast"/>
        </w:trPr>
        <w:tc>
          <w:tcPr>
            <w:tcW w:w="2802" w:type="dxa"/>
            <w:shd w:val="clear" w:color="auto" w:fill="C7DCEF"/>
          </w:tcPr>
          <w:p>
            <w:pPr>
              <w:pStyle w:val="TableParagraph"/>
              <w:spacing w:line="256" w:lineRule="auto" w:before="26"/>
              <w:ind w:left="132" w:right="267"/>
              <w:rPr>
                <w:b/>
                <w:sz w:val="16"/>
              </w:rPr>
            </w:pPr>
            <w:r>
              <w:rPr>
                <w:b/>
                <w:color w:val="1A3556"/>
                <w:sz w:val="16"/>
              </w:rPr>
              <w:t>Medidas técnicas y organizativas de seguridad</w:t>
            </w:r>
          </w:p>
        </w:tc>
        <w:tc>
          <w:tcPr>
            <w:tcW w:w="6560" w:type="dxa"/>
            <w:tcBorders>
              <w:top w:val="single" w:sz="34" w:space="0" w:color="FFFFFF"/>
            </w:tcBorders>
          </w:tcPr>
          <w:p>
            <w:pPr>
              <w:pStyle w:val="TableParagraph"/>
              <w:spacing w:line="256" w:lineRule="auto"/>
              <w:ind w:right="132"/>
              <w:rPr>
                <w:sz w:val="18"/>
              </w:rPr>
            </w:pPr>
            <w:r>
              <w:rPr>
                <w:color w:val="1A1A2D"/>
                <w:sz w:val="18"/>
              </w:rPr>
              <w:t>Acceso restringido al trabajador/a social asignado; secreto profesional; medidas ENS RD 311/2022.</w:t>
            </w:r>
          </w:p>
        </w:tc>
      </w:tr>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Encargados del tratamiento</w:t>
            </w:r>
          </w:p>
        </w:tc>
        <w:tc>
          <w:tcPr>
            <w:tcW w:w="6560" w:type="dxa"/>
            <w:shd w:val="clear" w:color="auto" w:fill="F4F6F8"/>
          </w:tcPr>
          <w:p>
            <w:pPr>
              <w:pStyle w:val="TableParagraph"/>
              <w:spacing w:line="256" w:lineRule="auto" w:before="79"/>
              <w:ind w:right="265"/>
              <w:rPr>
                <w:sz w:val="18"/>
              </w:rPr>
            </w:pPr>
            <w:r>
              <w:rPr>
                <w:color w:val="1A1A2D"/>
                <w:sz w:val="18"/>
              </w:rPr>
              <w:t>Empresa Activa Bienestar (apoyo a la integración social, encargada con contrato art. 28 RGPD).</w:t>
            </w:r>
          </w:p>
        </w:tc>
      </w:tr>
      <w:tr>
        <w:trPr>
          <w:trHeight w:val="789"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Nivel de riesgo / EIPD</w:t>
            </w:r>
          </w:p>
        </w:tc>
        <w:tc>
          <w:tcPr>
            <w:tcW w:w="6560" w:type="dxa"/>
            <w:shd w:val="clear" w:color="auto" w:fill="FFDFD5"/>
          </w:tcPr>
          <w:p>
            <w:pPr>
              <w:pStyle w:val="TableParagraph"/>
              <w:spacing w:line="256" w:lineRule="auto" w:before="79"/>
              <w:ind w:right="174"/>
              <w:rPr>
                <w:sz w:val="18"/>
              </w:rPr>
            </w:pPr>
            <w:r>
              <w:rPr>
                <w:color w:val="1A1A2D"/>
                <w:sz w:val="18"/>
              </w:rPr>
              <w:t>MUY ALTO – Datos de salud y datos económicos de personas bajo medidas de apoyo. Requiere EIPD.</w:t>
            </w:r>
          </w:p>
        </w:tc>
      </w:tr>
    </w:tbl>
    <w:p>
      <w:pPr>
        <w:spacing w:line="240" w:lineRule="auto" w:before="0"/>
        <w:rPr>
          <w:sz w:val="20"/>
        </w:rPr>
      </w:pPr>
    </w:p>
    <w:p>
      <w:pPr>
        <w:spacing w:line="240" w:lineRule="auto" w:before="9"/>
        <w:rPr>
          <w:sz w:val="19"/>
        </w:rPr>
      </w:pPr>
    </w:p>
    <w:p>
      <w:pPr>
        <w:spacing w:before="56"/>
        <w:ind w:left="906" w:right="261" w:firstLine="0"/>
        <w:jc w:val="center"/>
        <w:rPr>
          <w:sz w:val="22"/>
        </w:rPr>
      </w:pPr>
      <w:r>
        <w:rPr>
          <w:color w:val="4471C4"/>
          <w:sz w:val="22"/>
        </w:rPr>
        <w:t>18</w:t>
      </w:r>
    </w:p>
    <w:p>
      <w:pPr>
        <w:spacing w:after="0"/>
        <w:jc w:val="center"/>
        <w:rPr>
          <w:sz w:val="22"/>
        </w:rPr>
        <w:sectPr>
          <w:pgSz w:w="11910" w:h="16840"/>
          <w:pgMar w:top="1580" w:bottom="280" w:left="340" w:right="420"/>
        </w:sectPr>
      </w:pPr>
    </w:p>
    <w:p>
      <w:pPr>
        <w:spacing w:line="240" w:lineRule="auto" w:before="0"/>
        <w:rPr>
          <w:sz w:val="20"/>
        </w:rPr>
      </w:pPr>
      <w:r>
        <w:rPr/>
        <w:pict>
          <v:group style="position:absolute;margin-left:.000009pt;margin-top:36.832428pt;width:559.9pt;height:765.7pt;mso-position-horizontal-relative:page;mso-position-vertical-relative:page;z-index:-254786560" coordorigin="0,737" coordsize="11198,15314">
            <v:shape style="position:absolute;left:0;top:736;width:11198;height:15314" type="#_x0000_t75" stroked="false">
              <v:imagedata r:id="rId5" o:title=""/>
            </v:shape>
            <v:line style="position:absolute" from="1085,2758" to="1085,3048" stroked="true" strokeweight="1.92pt" strokecolor="#1e7a8b">
              <v:stroke dashstyle="solid"/>
            </v:line>
            <v:line style="position:absolute" from="1085,14899" to="1085,15187" stroked="true" strokeweight="1.92pt" strokecolor="#1e7a8b">
              <v:stroke dashstyle="solid"/>
            </v:line>
            <w10:wrap type="none"/>
          </v:group>
        </w:pict>
      </w: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2" w:after="0"/>
        <w:rPr>
          <w:sz w:val="14"/>
        </w:rPr>
      </w:pPr>
    </w:p>
    <w:p>
      <w:pPr>
        <w:spacing w:line="240" w:lineRule="auto"/>
        <w:ind w:left="764" w:right="0" w:firstLine="0"/>
        <w:rPr>
          <w:sz w:val="20"/>
        </w:rPr>
      </w:pPr>
      <w:r>
        <w:rPr>
          <w:sz w:val="20"/>
        </w:rPr>
        <w:pict>
          <v:shape style="width:513.25pt;height:14.55pt;mso-position-horizontal-relative:char;mso-position-vertical-relative:line" type="#_x0000_t202" filled="true" fillcolor="#f4f6f8" stroked="false">
            <w10:anchorlock/>
            <v:textbox inset="0,0,0,0">
              <w:txbxContent>
                <w:p>
                  <w:pPr>
                    <w:pStyle w:val="BodyText"/>
                    <w:spacing w:line="268" w:lineRule="exact"/>
                    <w:ind w:left="129"/>
                  </w:pPr>
                  <w:r>
                    <w:rPr>
                      <w:color w:val="1E7A8B"/>
                    </w:rPr>
                    <w:t>B-03 – Área económica – Gestión patrimonial de personas bajo medidas de apoyo</w:t>
                  </w:r>
                </w:p>
              </w:txbxContent>
            </v:textbox>
            <v:fill type="solid"/>
          </v:shape>
        </w:pict>
      </w:r>
      <w:r>
        <w:rPr>
          <w:sz w:val="20"/>
        </w:rPr>
      </w:r>
    </w:p>
    <w:p>
      <w:pPr>
        <w:spacing w:line="240" w:lineRule="auto" w:before="5"/>
        <w:rPr>
          <w:sz w:val="4"/>
        </w:rPr>
      </w:pPr>
    </w:p>
    <w:tbl>
      <w:tblPr>
        <w:tblW w:w="0" w:type="auto"/>
        <w:jc w:val="left"/>
        <w:tblInd w:w="79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474" w:hRule="atLeast"/>
        </w:trPr>
        <w:tc>
          <w:tcPr>
            <w:tcW w:w="2802" w:type="dxa"/>
            <w:shd w:val="clear" w:color="auto" w:fill="C7DCEF"/>
          </w:tcPr>
          <w:p>
            <w:pPr>
              <w:pStyle w:val="TableParagraph"/>
              <w:spacing w:before="11"/>
              <w:ind w:left="132"/>
              <w:rPr>
                <w:b/>
                <w:sz w:val="16"/>
              </w:rPr>
            </w:pPr>
            <w:r>
              <w:rPr>
                <w:b/>
                <w:color w:val="1A3556"/>
                <w:sz w:val="16"/>
              </w:rPr>
              <w:t>Código</w:t>
            </w:r>
          </w:p>
        </w:tc>
        <w:tc>
          <w:tcPr>
            <w:tcW w:w="6560" w:type="dxa"/>
            <w:tcBorders>
              <w:top w:val="single" w:sz="34" w:space="0" w:color="FFFFFF"/>
            </w:tcBorders>
          </w:tcPr>
          <w:p>
            <w:pPr>
              <w:pStyle w:val="TableParagraph"/>
              <w:spacing w:line="217" w:lineRule="exact"/>
              <w:rPr>
                <w:sz w:val="18"/>
              </w:rPr>
            </w:pPr>
            <w:r>
              <w:rPr>
                <w:color w:val="1A1A2D"/>
                <w:sz w:val="18"/>
              </w:rPr>
              <w:t>B-03</w:t>
            </w:r>
          </w:p>
        </w:tc>
      </w:tr>
      <w:tr>
        <w:trPr>
          <w:trHeight w:val="553" w:hRule="atLeast"/>
        </w:trPr>
        <w:tc>
          <w:tcPr>
            <w:tcW w:w="2802" w:type="dxa"/>
            <w:shd w:val="clear" w:color="auto" w:fill="C7DCEF"/>
          </w:tcPr>
          <w:p>
            <w:pPr>
              <w:pStyle w:val="TableParagraph"/>
              <w:spacing w:before="91"/>
              <w:ind w:left="132"/>
              <w:rPr>
                <w:b/>
                <w:sz w:val="16"/>
              </w:rPr>
            </w:pPr>
            <w:r>
              <w:rPr>
                <w:b/>
                <w:color w:val="1A3556"/>
                <w:sz w:val="16"/>
              </w:rPr>
              <w:t>Nombre del tratamiento</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Área económica – Gestión patrimonial de personas bajo medidas de apoyo</w:t>
            </w:r>
          </w:p>
        </w:tc>
      </w:tr>
      <w:tr>
        <w:trPr>
          <w:trHeight w:val="474" w:hRule="atLeast"/>
        </w:trPr>
        <w:tc>
          <w:tcPr>
            <w:tcW w:w="2802" w:type="dxa"/>
            <w:shd w:val="clear" w:color="auto" w:fill="C7DCEF"/>
          </w:tcPr>
          <w:p>
            <w:pPr>
              <w:pStyle w:val="TableParagraph"/>
              <w:spacing w:before="11"/>
              <w:ind w:left="132"/>
              <w:rPr>
                <w:b/>
                <w:sz w:val="16"/>
              </w:rPr>
            </w:pPr>
            <w:r>
              <w:rPr>
                <w:b/>
                <w:color w:val="1A3556"/>
                <w:sz w:val="16"/>
              </w:rPr>
              <w:t>Rol de FUCAS</w:t>
            </w:r>
          </w:p>
        </w:tc>
        <w:tc>
          <w:tcPr>
            <w:tcW w:w="6560" w:type="dxa"/>
            <w:tcBorders>
              <w:top w:val="single" w:sz="34" w:space="0" w:color="FFFFFF"/>
            </w:tcBorders>
          </w:tcPr>
          <w:p>
            <w:pPr>
              <w:pStyle w:val="TableParagraph"/>
              <w:spacing w:line="217" w:lineRule="exact"/>
              <w:rPr>
                <w:sz w:val="18"/>
              </w:rPr>
            </w:pPr>
            <w:r>
              <w:rPr>
                <w:color w:val="1A1A2D"/>
                <w:sz w:val="18"/>
              </w:rPr>
              <w:t>RESPONSABLE</w:t>
            </w:r>
          </w:p>
        </w:tc>
      </w:tr>
      <w:tr>
        <w:trPr>
          <w:trHeight w:val="1265" w:hRule="atLeast"/>
        </w:trPr>
        <w:tc>
          <w:tcPr>
            <w:tcW w:w="2802" w:type="dxa"/>
            <w:shd w:val="clear" w:color="auto" w:fill="C7DCEF"/>
          </w:tcPr>
          <w:p>
            <w:pPr>
              <w:pStyle w:val="TableParagraph"/>
              <w:ind w:left="0"/>
              <w:rPr>
                <w:sz w:val="16"/>
              </w:rPr>
            </w:pPr>
          </w:p>
          <w:p>
            <w:pPr>
              <w:pStyle w:val="TableParagraph"/>
              <w:spacing w:before="6"/>
              <w:ind w:left="0"/>
              <w:rPr>
                <w:sz w:val="20"/>
              </w:rPr>
            </w:pPr>
          </w:p>
          <w:p>
            <w:pPr>
              <w:pStyle w:val="TableParagraph"/>
              <w:spacing w:before="1"/>
              <w:ind w:left="132"/>
              <w:rPr>
                <w:b/>
                <w:sz w:val="16"/>
              </w:rPr>
            </w:pPr>
            <w:r>
              <w:rPr>
                <w:b/>
                <w:color w:val="1A3556"/>
                <w:sz w:val="16"/>
              </w:rPr>
              <w:t>Finalidad del tratamiento</w:t>
            </w:r>
          </w:p>
        </w:tc>
        <w:tc>
          <w:tcPr>
            <w:tcW w:w="6560" w:type="dxa"/>
            <w:shd w:val="clear" w:color="auto" w:fill="F4F6F8"/>
          </w:tcPr>
          <w:p>
            <w:pPr>
              <w:pStyle w:val="TableParagraph"/>
              <w:spacing w:line="259" w:lineRule="auto" w:before="79"/>
              <w:ind w:right="132"/>
              <w:rPr>
                <w:sz w:val="18"/>
              </w:rPr>
            </w:pPr>
            <w:r>
              <w:rPr>
                <w:color w:val="1A1A2D"/>
                <w:sz w:val="18"/>
              </w:rPr>
              <w:t>Gestión del patrimonio de las personas bajo medidas de apoyo cuya gestión patrimonial ha sido encomendada a FUCAS por resolución judicial: cuentas bancarias, bienes inmuebles, ingresos, gastos, rendición de cuentas ante el juzgado y control de movimientos económicos.</w:t>
            </w:r>
          </w:p>
        </w:tc>
      </w:tr>
      <w:tr>
        <w:trPr>
          <w:trHeight w:val="1029" w:hRule="atLeast"/>
        </w:trPr>
        <w:tc>
          <w:tcPr>
            <w:tcW w:w="2802" w:type="dxa"/>
            <w:shd w:val="clear" w:color="auto" w:fill="C7DCEF"/>
          </w:tcPr>
          <w:p>
            <w:pPr>
              <w:pStyle w:val="TableParagraph"/>
              <w:ind w:left="0"/>
              <w:rPr>
                <w:sz w:val="16"/>
              </w:rPr>
            </w:pPr>
          </w:p>
          <w:p>
            <w:pPr>
              <w:pStyle w:val="TableParagraph"/>
              <w:spacing w:before="133"/>
              <w:ind w:left="132"/>
              <w:rPr>
                <w:b/>
                <w:sz w:val="16"/>
              </w:rPr>
            </w:pPr>
            <w:r>
              <w:rPr>
                <w:b/>
                <w:color w:val="1A3556"/>
                <w:sz w:val="16"/>
              </w:rPr>
              <w:t>Base jurídica</w:t>
            </w:r>
          </w:p>
        </w:tc>
        <w:tc>
          <w:tcPr>
            <w:tcW w:w="6560" w:type="dxa"/>
          </w:tcPr>
          <w:p>
            <w:pPr>
              <w:pStyle w:val="TableParagraph"/>
              <w:spacing w:line="256" w:lineRule="auto" w:before="81"/>
              <w:ind w:right="358"/>
              <w:jc w:val="both"/>
              <w:rPr>
                <w:sz w:val="18"/>
              </w:rPr>
            </w:pPr>
            <w:r>
              <w:rPr>
                <w:color w:val="1A1A2D"/>
                <w:sz w:val="18"/>
              </w:rPr>
              <w:t>Art. 6.1.c) RGPD – Obligación legal; art. 9.2.b) y f) RGPD. Ley 8/2021; Ley 2/1998 de Fundaciones Canarias; art. 8 Estatutos FUCAS. [CORRECCIÓN v2.1: sustituidos arts. 242 y 269 CC derogados]</w:t>
            </w:r>
          </w:p>
        </w:tc>
      </w:tr>
      <w:tr>
        <w:trPr>
          <w:trHeight w:val="1501" w:hRule="atLeast"/>
        </w:trPr>
        <w:tc>
          <w:tcPr>
            <w:tcW w:w="2802" w:type="dxa"/>
            <w:shd w:val="clear" w:color="auto" w:fill="C7DCEF"/>
          </w:tcPr>
          <w:p>
            <w:pPr>
              <w:pStyle w:val="TableParagraph"/>
              <w:ind w:left="0"/>
              <w:rPr>
                <w:sz w:val="16"/>
              </w:rPr>
            </w:pPr>
          </w:p>
          <w:p>
            <w:pPr>
              <w:pStyle w:val="TableParagraph"/>
              <w:ind w:left="0"/>
              <w:rPr>
                <w:sz w:val="16"/>
              </w:rPr>
            </w:pPr>
          </w:p>
          <w:p>
            <w:pPr>
              <w:pStyle w:val="TableParagraph"/>
              <w:spacing w:before="2"/>
              <w:ind w:left="0"/>
              <w:rPr>
                <w:sz w:val="14"/>
              </w:rPr>
            </w:pPr>
          </w:p>
          <w:p>
            <w:pPr>
              <w:pStyle w:val="TableParagraph"/>
              <w:ind w:left="132"/>
              <w:rPr>
                <w:b/>
                <w:sz w:val="16"/>
              </w:rPr>
            </w:pPr>
            <w:r>
              <w:rPr>
                <w:b/>
                <w:color w:val="1A3556"/>
                <w:sz w:val="16"/>
              </w:rPr>
              <w:t>Categorías de datos personales</w:t>
            </w:r>
          </w:p>
        </w:tc>
        <w:tc>
          <w:tcPr>
            <w:tcW w:w="6560" w:type="dxa"/>
            <w:tcBorders>
              <w:bottom w:val="single" w:sz="34" w:space="0" w:color="FFFFFF"/>
            </w:tcBorders>
            <w:shd w:val="clear" w:color="auto" w:fill="F4F6F8"/>
          </w:tcPr>
          <w:p>
            <w:pPr>
              <w:pStyle w:val="TableParagraph"/>
              <w:spacing w:line="259" w:lineRule="auto" w:before="79"/>
              <w:rPr>
                <w:sz w:val="18"/>
              </w:rPr>
            </w:pPr>
            <w:r>
              <w:rPr>
                <w:color w:val="1A1A2D"/>
                <w:sz w:val="18"/>
              </w:rPr>
              <w:t>CATEGORÍAS ESPECIALES: Datos de salud (en la medida necesaria para la gestión patrimonial). Datos ordinarios: identificativos (nombre, apellidos, DNI/NIF, email, teléfono, dirección, firma, Nº Seguridad Social, mutualidad); datos económicos, financieros y de seguros; características personales; circunstancias sociales; datos de menores (cuando la medida afecta a bienes heredados).</w:t>
            </w:r>
          </w:p>
        </w:tc>
      </w:tr>
      <w:tr>
        <w:trPr>
          <w:trHeight w:val="712" w:hRule="atLeast"/>
        </w:trPr>
        <w:tc>
          <w:tcPr>
            <w:tcW w:w="2802" w:type="dxa"/>
            <w:shd w:val="clear" w:color="auto" w:fill="C7DCEF"/>
          </w:tcPr>
          <w:p>
            <w:pPr>
              <w:pStyle w:val="TableParagraph"/>
              <w:spacing w:before="129"/>
              <w:ind w:left="132"/>
              <w:rPr>
                <w:b/>
                <w:sz w:val="16"/>
              </w:rPr>
            </w:pPr>
            <w:r>
              <w:rPr>
                <w:b/>
                <w:color w:val="1A3556"/>
                <w:sz w:val="16"/>
              </w:rPr>
              <w:t>Colectivos de interesados</w:t>
            </w:r>
          </w:p>
        </w:tc>
        <w:tc>
          <w:tcPr>
            <w:tcW w:w="6560" w:type="dxa"/>
            <w:tcBorders>
              <w:top w:val="single" w:sz="34" w:space="0" w:color="FFFFFF"/>
            </w:tcBorders>
          </w:tcPr>
          <w:p>
            <w:pPr>
              <w:pStyle w:val="TableParagraph"/>
              <w:spacing w:line="256" w:lineRule="auto"/>
              <w:ind w:right="620"/>
              <w:rPr>
                <w:sz w:val="18"/>
              </w:rPr>
            </w:pPr>
            <w:r>
              <w:rPr>
                <w:color w:val="1A1A2D"/>
                <w:sz w:val="18"/>
              </w:rPr>
              <w:t>Personas con discapacidad bajo medidas de apoyo patrimonial gestionadas por FUCAS.</w:t>
            </w:r>
          </w:p>
        </w:tc>
      </w:tr>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Destinatarios / Cesionarios</w:t>
            </w:r>
          </w:p>
        </w:tc>
        <w:tc>
          <w:tcPr>
            <w:tcW w:w="6560" w:type="dxa"/>
            <w:tcBorders>
              <w:bottom w:val="single" w:sz="34" w:space="0" w:color="FFFFFF"/>
            </w:tcBorders>
            <w:shd w:val="clear" w:color="auto" w:fill="F4F6F8"/>
          </w:tcPr>
          <w:p>
            <w:pPr>
              <w:pStyle w:val="TableParagraph"/>
              <w:spacing w:line="256" w:lineRule="auto" w:before="79"/>
              <w:rPr>
                <w:sz w:val="18"/>
              </w:rPr>
            </w:pPr>
            <w:r>
              <w:rPr>
                <w:color w:val="1A1A2D"/>
                <w:sz w:val="18"/>
              </w:rPr>
              <w:t>Gobierno de Canarias – Consejería de Bienestar Social; Tesorería General de la Seguridad Social; Juzgados y Tribunales (rendición de cuentas); entidades bancarias.</w:t>
            </w:r>
          </w:p>
        </w:tc>
      </w:tr>
      <w:tr>
        <w:trPr>
          <w:trHeight w:val="712" w:hRule="atLeast"/>
        </w:trPr>
        <w:tc>
          <w:tcPr>
            <w:tcW w:w="2802" w:type="dxa"/>
            <w:shd w:val="clear" w:color="auto" w:fill="C7DCEF"/>
          </w:tcPr>
          <w:p>
            <w:pPr>
              <w:pStyle w:val="TableParagraph"/>
              <w:spacing w:before="129"/>
              <w:ind w:left="132"/>
              <w:rPr>
                <w:b/>
                <w:sz w:val="16"/>
              </w:rPr>
            </w:pPr>
            <w:r>
              <w:rPr>
                <w:b/>
                <w:color w:val="1A3556"/>
                <w:sz w:val="16"/>
              </w:rPr>
              <w:t>Plazo de conservación</w:t>
            </w:r>
          </w:p>
        </w:tc>
        <w:tc>
          <w:tcPr>
            <w:tcW w:w="6560" w:type="dxa"/>
            <w:tcBorders>
              <w:top w:val="single" w:sz="34" w:space="0" w:color="FFFFFF"/>
            </w:tcBorders>
          </w:tcPr>
          <w:p>
            <w:pPr>
              <w:pStyle w:val="TableParagraph"/>
              <w:spacing w:line="256" w:lineRule="auto"/>
              <w:ind w:right="1001"/>
              <w:rPr>
                <w:sz w:val="18"/>
              </w:rPr>
            </w:pPr>
            <w:r>
              <w:rPr>
                <w:color w:val="1A1A2D"/>
                <w:sz w:val="18"/>
              </w:rPr>
              <w:t>Mientras dure la medida de apoyo. Rendiciones de cuentas y documentos patrimoniales: 10 años tras la extinción. Documentación bancaria: 6 años.</w:t>
            </w:r>
          </w:p>
        </w:tc>
      </w:tr>
      <w:tr>
        <w:trPr>
          <w:trHeight w:val="553" w:hRule="atLeast"/>
        </w:trPr>
        <w:tc>
          <w:tcPr>
            <w:tcW w:w="2802" w:type="dxa"/>
            <w:shd w:val="clear" w:color="auto" w:fill="C7DCEF"/>
          </w:tcPr>
          <w:p>
            <w:pPr>
              <w:pStyle w:val="TableParagraph"/>
              <w:spacing w:before="88"/>
              <w:ind w:left="132"/>
              <w:rPr>
                <w:b/>
                <w:sz w:val="16"/>
              </w:rPr>
            </w:pPr>
            <w:r>
              <w:rPr>
                <w:b/>
                <w:color w:val="1A3556"/>
                <w:sz w:val="16"/>
              </w:rPr>
              <w:t>Transferencias internacionales</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No se realizan transferencias internacionales de datos personales.</w:t>
            </w:r>
          </w:p>
        </w:tc>
      </w:tr>
      <w:tr>
        <w:trPr>
          <w:trHeight w:val="709" w:hRule="atLeast"/>
        </w:trPr>
        <w:tc>
          <w:tcPr>
            <w:tcW w:w="2802" w:type="dxa"/>
            <w:shd w:val="clear" w:color="auto" w:fill="C7DCEF"/>
          </w:tcPr>
          <w:p>
            <w:pPr>
              <w:pStyle w:val="TableParagraph"/>
              <w:spacing w:line="254" w:lineRule="auto" w:before="26"/>
              <w:ind w:left="132" w:right="267"/>
              <w:rPr>
                <w:b/>
                <w:sz w:val="16"/>
              </w:rPr>
            </w:pPr>
            <w:r>
              <w:rPr>
                <w:b/>
                <w:color w:val="1A3556"/>
                <w:sz w:val="16"/>
              </w:rPr>
              <w:t>Medidas técnicas y organizativas de seguridad</w:t>
            </w:r>
          </w:p>
        </w:tc>
        <w:tc>
          <w:tcPr>
            <w:tcW w:w="6560" w:type="dxa"/>
            <w:tcBorders>
              <w:top w:val="single" w:sz="34" w:space="0" w:color="FFFFFF"/>
            </w:tcBorders>
          </w:tcPr>
          <w:p>
            <w:pPr>
              <w:pStyle w:val="TableParagraph"/>
              <w:spacing w:line="254" w:lineRule="auto"/>
              <w:rPr>
                <w:sz w:val="18"/>
              </w:rPr>
            </w:pPr>
            <w:r>
              <w:rPr>
                <w:color w:val="1A1A2D"/>
                <w:sz w:val="18"/>
              </w:rPr>
              <w:t>Acceso restringido al equipo económico asignado; doble firma para operaciones bancarias significativas; registro de operaciones; medidas ENS RD 311/2022.</w:t>
            </w:r>
          </w:p>
        </w:tc>
      </w:tr>
      <w:tr>
        <w:trPr>
          <w:trHeight w:val="792"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Encargados del tratamiento</w:t>
            </w:r>
          </w:p>
        </w:tc>
        <w:tc>
          <w:tcPr>
            <w:tcW w:w="6560" w:type="dxa"/>
            <w:shd w:val="clear" w:color="auto" w:fill="F4F6F8"/>
          </w:tcPr>
          <w:p>
            <w:pPr>
              <w:pStyle w:val="TableParagraph"/>
              <w:spacing w:line="256" w:lineRule="auto" w:before="79"/>
              <w:ind w:right="235"/>
              <w:rPr>
                <w:sz w:val="18"/>
              </w:rPr>
            </w:pPr>
            <w:r>
              <w:rPr>
                <w:color w:val="1A1A2D"/>
                <w:sz w:val="18"/>
              </w:rPr>
              <w:t>Entidades bancarias colaboradoras (gestión de cuentas de las personas curateladas, con contrato/acuerdo art. 28 RGPD).</w:t>
            </w:r>
          </w:p>
        </w:tc>
      </w:tr>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Nivel de riesgo / EIPD</w:t>
            </w:r>
          </w:p>
        </w:tc>
        <w:tc>
          <w:tcPr>
            <w:tcW w:w="6560" w:type="dxa"/>
            <w:shd w:val="clear" w:color="auto" w:fill="FFDFD5"/>
          </w:tcPr>
          <w:p>
            <w:pPr>
              <w:pStyle w:val="TableParagraph"/>
              <w:spacing w:line="256" w:lineRule="auto" w:before="79"/>
              <w:ind w:right="235"/>
              <w:rPr>
                <w:sz w:val="18"/>
              </w:rPr>
            </w:pPr>
            <w:r>
              <w:rPr>
                <w:color w:val="1A1A2D"/>
                <w:sz w:val="18"/>
              </w:rPr>
              <w:t>MUY ALTO – Datos económicos y de salud de personas bajo medidas de apoyo judicial. Requiere EIPD.</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
        <w:rPr>
          <w:sz w:val="15"/>
        </w:rPr>
      </w:pPr>
      <w:r>
        <w:rPr/>
        <w:pict>
          <v:shape style="position:absolute;margin-left:55.200001pt;margin-top:10.4535pt;width:513.25pt;height:14.4pt;mso-position-horizontal-relative:page;mso-position-vertical-relative:paragraph;z-index:-251621376;mso-wrap-distance-left:0;mso-wrap-distance-right:0" type="#_x0000_t202" filled="true" fillcolor="#f4f6f8" stroked="false">
            <v:textbox inset="0,0,0,0">
              <w:txbxContent>
                <w:p>
                  <w:pPr>
                    <w:pStyle w:val="BodyText"/>
                    <w:spacing w:line="268" w:lineRule="exact"/>
                    <w:ind w:left="129"/>
                  </w:pPr>
                  <w:r>
                    <w:rPr>
                      <w:color w:val="1E7A8B"/>
                    </w:rPr>
                    <w:t>B-04 – Área administrativa – Gestión documental de la gestión tutelar</w:t>
                  </w:r>
                </w:p>
              </w:txbxContent>
            </v:textbox>
            <v:fill type="solid"/>
            <w10:wrap type="topAndBottom"/>
          </v:shape>
        </w:pict>
      </w:r>
    </w:p>
    <w:p>
      <w:pPr>
        <w:spacing w:line="240" w:lineRule="auto" w:before="6"/>
        <w:rPr>
          <w:sz w:val="27"/>
        </w:rPr>
      </w:pPr>
    </w:p>
    <w:p>
      <w:pPr>
        <w:spacing w:before="56"/>
        <w:ind w:left="906" w:right="261" w:firstLine="0"/>
        <w:jc w:val="center"/>
        <w:rPr>
          <w:sz w:val="22"/>
        </w:rPr>
      </w:pPr>
      <w:r>
        <w:rPr>
          <w:color w:val="4471C4"/>
          <w:sz w:val="22"/>
        </w:rPr>
        <w:t>19</w:t>
      </w:r>
    </w:p>
    <w:p>
      <w:pPr>
        <w:spacing w:after="0"/>
        <w:jc w:val="center"/>
        <w:rPr>
          <w:sz w:val="22"/>
        </w:rPr>
        <w:sectPr>
          <w:pgSz w:w="11910" w:h="16840"/>
          <w:pgMar w:top="1580" w:bottom="280" w:left="340" w:right="420"/>
        </w:sectPr>
      </w:pPr>
    </w:p>
    <w:p>
      <w:pPr>
        <w:spacing w:line="240" w:lineRule="auto" w:before="0"/>
        <w:rPr>
          <w:sz w:val="20"/>
        </w:rPr>
      </w:pPr>
      <w:r>
        <w:rPr/>
        <w:drawing>
          <wp:anchor distT="0" distB="0" distL="0" distR="0" allowOverlap="1" layoutInCell="1" locked="0" behindDoc="1" simplePos="0" relativeHeight="248530944">
            <wp:simplePos x="0" y="0"/>
            <wp:positionH relativeFrom="page">
              <wp:posOffset>0</wp:posOffset>
            </wp:positionH>
            <wp:positionV relativeFrom="page">
              <wp:posOffset>467771</wp:posOffset>
            </wp:positionV>
            <wp:extent cx="7110428" cy="9724101"/>
            <wp:effectExtent l="0" t="0" r="0" b="0"/>
            <wp:wrapNone/>
            <wp:docPr id="15" name="image1.png"/>
            <wp:cNvGraphicFramePr>
              <a:graphicFrameLocks noChangeAspect="1"/>
            </wp:cNvGraphicFramePr>
            <a:graphic>
              <a:graphicData uri="http://schemas.openxmlformats.org/drawingml/2006/picture">
                <pic:pic>
                  <pic:nvPicPr>
                    <pic:cNvPr id="16" name="image1.png"/>
                    <pic:cNvPicPr/>
                  </pic:nvPicPr>
                  <pic:blipFill>
                    <a:blip r:embed="rId5" cstate="print"/>
                    <a:stretch>
                      <a:fillRect/>
                    </a:stretch>
                  </pic:blipFill>
                  <pic:spPr>
                    <a:xfrm>
                      <a:off x="0" y="0"/>
                      <a:ext cx="7110428" cy="9724101"/>
                    </a:xfrm>
                    <a:prstGeom prst="rect">
                      <a:avLst/>
                    </a:prstGeom>
                  </pic:spPr>
                </pic:pic>
              </a:graphicData>
            </a:graphic>
          </wp:anchor>
        </w:drawing>
      </w:r>
    </w:p>
    <w:p>
      <w:pPr>
        <w:spacing w:line="240" w:lineRule="auto" w:before="0"/>
        <w:rPr>
          <w:sz w:val="20"/>
        </w:rPr>
      </w:pPr>
    </w:p>
    <w:p>
      <w:pPr>
        <w:spacing w:line="240" w:lineRule="auto" w:before="10" w:after="1"/>
        <w:rPr>
          <w:sz w:val="14"/>
        </w:rPr>
      </w:pPr>
    </w:p>
    <w:tbl>
      <w:tblPr>
        <w:tblW w:w="0" w:type="auto"/>
        <w:jc w:val="left"/>
        <w:tblInd w:w="79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474" w:hRule="atLeast"/>
        </w:trPr>
        <w:tc>
          <w:tcPr>
            <w:tcW w:w="2802" w:type="dxa"/>
            <w:shd w:val="clear" w:color="auto" w:fill="C7DCEF"/>
          </w:tcPr>
          <w:p>
            <w:pPr>
              <w:pStyle w:val="TableParagraph"/>
              <w:spacing w:before="11"/>
              <w:ind w:left="132"/>
              <w:rPr>
                <w:b/>
                <w:sz w:val="16"/>
              </w:rPr>
            </w:pPr>
            <w:r>
              <w:rPr>
                <w:b/>
                <w:color w:val="1A3556"/>
                <w:sz w:val="16"/>
              </w:rPr>
              <w:t>Código</w:t>
            </w:r>
          </w:p>
        </w:tc>
        <w:tc>
          <w:tcPr>
            <w:tcW w:w="6560" w:type="dxa"/>
            <w:tcBorders>
              <w:top w:val="single" w:sz="34" w:space="0" w:color="FFFFFF"/>
            </w:tcBorders>
          </w:tcPr>
          <w:p>
            <w:pPr>
              <w:pStyle w:val="TableParagraph"/>
              <w:spacing w:line="217" w:lineRule="exact"/>
              <w:rPr>
                <w:sz w:val="18"/>
              </w:rPr>
            </w:pPr>
            <w:r>
              <w:rPr>
                <w:color w:val="1A1A2D"/>
                <w:sz w:val="18"/>
              </w:rPr>
              <w:t>B-04</w:t>
            </w:r>
          </w:p>
        </w:tc>
      </w:tr>
      <w:tr>
        <w:trPr>
          <w:trHeight w:val="553" w:hRule="atLeast"/>
        </w:trPr>
        <w:tc>
          <w:tcPr>
            <w:tcW w:w="2802" w:type="dxa"/>
            <w:shd w:val="clear" w:color="auto" w:fill="C7DCEF"/>
          </w:tcPr>
          <w:p>
            <w:pPr>
              <w:pStyle w:val="TableParagraph"/>
              <w:spacing w:before="91"/>
              <w:ind w:left="132"/>
              <w:rPr>
                <w:b/>
                <w:sz w:val="16"/>
              </w:rPr>
            </w:pPr>
            <w:r>
              <w:rPr>
                <w:b/>
                <w:color w:val="1A3556"/>
                <w:sz w:val="16"/>
              </w:rPr>
              <w:t>Nombre del tratamiento</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Área administrativa – Gestión documental de la gestión tutelar</w:t>
            </w:r>
          </w:p>
        </w:tc>
      </w:tr>
      <w:tr>
        <w:trPr>
          <w:trHeight w:val="474" w:hRule="atLeast"/>
        </w:trPr>
        <w:tc>
          <w:tcPr>
            <w:tcW w:w="2802" w:type="dxa"/>
            <w:shd w:val="clear" w:color="auto" w:fill="C7DCEF"/>
          </w:tcPr>
          <w:p>
            <w:pPr>
              <w:pStyle w:val="TableParagraph"/>
              <w:spacing w:before="11"/>
              <w:ind w:left="132"/>
              <w:rPr>
                <w:b/>
                <w:sz w:val="16"/>
              </w:rPr>
            </w:pPr>
            <w:r>
              <w:rPr>
                <w:b/>
                <w:color w:val="1A3556"/>
                <w:sz w:val="16"/>
              </w:rPr>
              <w:t>Rol de FUCAS</w:t>
            </w:r>
          </w:p>
        </w:tc>
        <w:tc>
          <w:tcPr>
            <w:tcW w:w="6560" w:type="dxa"/>
            <w:tcBorders>
              <w:top w:val="single" w:sz="34" w:space="0" w:color="FFFFFF"/>
            </w:tcBorders>
          </w:tcPr>
          <w:p>
            <w:pPr>
              <w:pStyle w:val="TableParagraph"/>
              <w:spacing w:line="217" w:lineRule="exact"/>
              <w:rPr>
                <w:sz w:val="18"/>
              </w:rPr>
            </w:pPr>
            <w:r>
              <w:rPr>
                <w:color w:val="1A1A2D"/>
                <w:sz w:val="18"/>
              </w:rPr>
              <w:t>RESPONSABLE</w:t>
            </w:r>
          </w:p>
        </w:tc>
      </w:tr>
      <w:tr>
        <w:trPr>
          <w:trHeight w:val="1026" w:hRule="atLeast"/>
        </w:trPr>
        <w:tc>
          <w:tcPr>
            <w:tcW w:w="2802" w:type="dxa"/>
            <w:shd w:val="clear" w:color="auto" w:fill="C7DCEF"/>
          </w:tcPr>
          <w:p>
            <w:pPr>
              <w:pStyle w:val="TableParagraph"/>
              <w:ind w:left="0"/>
              <w:rPr>
                <w:sz w:val="16"/>
              </w:rPr>
            </w:pPr>
          </w:p>
          <w:p>
            <w:pPr>
              <w:pStyle w:val="TableParagraph"/>
              <w:spacing w:before="131"/>
              <w:ind w:left="132"/>
              <w:rPr>
                <w:b/>
                <w:sz w:val="16"/>
              </w:rPr>
            </w:pPr>
            <w:r>
              <w:rPr>
                <w:b/>
                <w:color w:val="1A3556"/>
                <w:sz w:val="16"/>
              </w:rPr>
              <w:t>Finalidad del tratamiento</w:t>
            </w:r>
          </w:p>
        </w:tc>
        <w:tc>
          <w:tcPr>
            <w:tcW w:w="6560" w:type="dxa"/>
            <w:tcBorders>
              <w:bottom w:val="single" w:sz="34" w:space="0" w:color="FFFFFF"/>
            </w:tcBorders>
            <w:shd w:val="clear" w:color="auto" w:fill="F4F6F8"/>
          </w:tcPr>
          <w:p>
            <w:pPr>
              <w:pStyle w:val="TableParagraph"/>
              <w:spacing w:line="259" w:lineRule="auto" w:before="79"/>
              <w:rPr>
                <w:sz w:val="18"/>
              </w:rPr>
            </w:pPr>
            <w:r>
              <w:rPr>
                <w:color w:val="1A1A2D"/>
                <w:sz w:val="18"/>
              </w:rPr>
              <w:t>Gestión y organización de la documentación relativa a cada persona bajo medida de apoyo: recepción, clasificación, archivo y remisión de documentos a las distintas áreas (jurídica, social, económica) de la gestión tutelar.</w:t>
            </w:r>
          </w:p>
        </w:tc>
      </w:tr>
      <w:tr>
        <w:trPr>
          <w:trHeight w:val="474" w:hRule="atLeast"/>
        </w:trPr>
        <w:tc>
          <w:tcPr>
            <w:tcW w:w="2802" w:type="dxa"/>
            <w:shd w:val="clear" w:color="auto" w:fill="C7DCEF"/>
          </w:tcPr>
          <w:p>
            <w:pPr>
              <w:pStyle w:val="TableParagraph"/>
              <w:spacing w:before="11"/>
              <w:ind w:left="132"/>
              <w:rPr>
                <w:b/>
                <w:sz w:val="16"/>
              </w:rPr>
            </w:pPr>
            <w:r>
              <w:rPr>
                <w:b/>
                <w:color w:val="1A3556"/>
                <w:sz w:val="16"/>
              </w:rPr>
              <w:t>Base jurídica</w:t>
            </w:r>
          </w:p>
        </w:tc>
        <w:tc>
          <w:tcPr>
            <w:tcW w:w="6560" w:type="dxa"/>
            <w:tcBorders>
              <w:top w:val="single" w:sz="34" w:space="0" w:color="FFFFFF"/>
            </w:tcBorders>
          </w:tcPr>
          <w:p>
            <w:pPr>
              <w:pStyle w:val="TableParagraph"/>
              <w:spacing w:line="219" w:lineRule="exact"/>
              <w:rPr>
                <w:sz w:val="18"/>
              </w:rPr>
            </w:pPr>
            <w:r>
              <w:rPr>
                <w:color w:val="1A1A2D"/>
                <w:sz w:val="18"/>
              </w:rPr>
              <w:t>Art. 6.1.c) RGPD – Obligación legal. Ley 8/2021; Ley 2/1998 de Fundaciones Canarias.</w:t>
            </w:r>
          </w:p>
        </w:tc>
      </w:tr>
      <w:tr>
        <w:trPr>
          <w:trHeight w:val="1267" w:hRule="atLeast"/>
        </w:trPr>
        <w:tc>
          <w:tcPr>
            <w:tcW w:w="2802" w:type="dxa"/>
            <w:shd w:val="clear" w:color="auto" w:fill="C7DCEF"/>
          </w:tcPr>
          <w:p>
            <w:pPr>
              <w:pStyle w:val="TableParagraph"/>
              <w:ind w:left="0"/>
              <w:rPr>
                <w:sz w:val="16"/>
              </w:rPr>
            </w:pPr>
          </w:p>
          <w:p>
            <w:pPr>
              <w:pStyle w:val="TableParagraph"/>
              <w:spacing w:before="7"/>
              <w:ind w:left="0"/>
              <w:rPr>
                <w:sz w:val="20"/>
              </w:rPr>
            </w:pPr>
          </w:p>
          <w:p>
            <w:pPr>
              <w:pStyle w:val="TableParagraph"/>
              <w:ind w:left="132"/>
              <w:rPr>
                <w:b/>
                <w:sz w:val="16"/>
              </w:rPr>
            </w:pPr>
            <w:r>
              <w:rPr>
                <w:b/>
                <w:color w:val="1A3556"/>
                <w:sz w:val="16"/>
              </w:rPr>
              <w:t>Categorías de datos personales</w:t>
            </w:r>
          </w:p>
        </w:tc>
        <w:tc>
          <w:tcPr>
            <w:tcW w:w="6560" w:type="dxa"/>
            <w:tcBorders>
              <w:bottom w:val="single" w:sz="34" w:space="0" w:color="FFFFFF"/>
            </w:tcBorders>
            <w:shd w:val="clear" w:color="auto" w:fill="F4F6F8"/>
          </w:tcPr>
          <w:p>
            <w:pPr>
              <w:pStyle w:val="TableParagraph"/>
              <w:spacing w:line="256" w:lineRule="auto" w:before="82"/>
              <w:ind w:right="203"/>
              <w:rPr>
                <w:sz w:val="18"/>
              </w:rPr>
            </w:pPr>
            <w:r>
              <w:rPr>
                <w:color w:val="1A1A2D"/>
                <w:sz w:val="18"/>
              </w:rPr>
              <w:t>CATEGORÍAS ESPECIALES: Datos de salud, datos judiciales y datos económicos inherentes a la documentación de la gestión tutelar. Datos ordinarios: identificativos completos (nombre, apellidos, DNI/NIF, email, teléfono, dirección, firma, Nº Seguridad Social, mutualidad).</w:t>
            </w:r>
          </w:p>
        </w:tc>
      </w:tr>
      <w:tr>
        <w:trPr>
          <w:trHeight w:val="474" w:hRule="atLeast"/>
        </w:trPr>
        <w:tc>
          <w:tcPr>
            <w:tcW w:w="2802" w:type="dxa"/>
            <w:shd w:val="clear" w:color="auto" w:fill="C7DCEF"/>
          </w:tcPr>
          <w:p>
            <w:pPr>
              <w:pStyle w:val="TableParagraph"/>
              <w:spacing w:before="9"/>
              <w:ind w:left="132"/>
              <w:rPr>
                <w:b/>
                <w:sz w:val="16"/>
              </w:rPr>
            </w:pPr>
            <w:r>
              <w:rPr>
                <w:b/>
                <w:color w:val="1A3556"/>
                <w:sz w:val="16"/>
              </w:rPr>
              <w:t>Colectivos de interesados</w:t>
            </w:r>
          </w:p>
        </w:tc>
        <w:tc>
          <w:tcPr>
            <w:tcW w:w="6560" w:type="dxa"/>
            <w:tcBorders>
              <w:top w:val="single" w:sz="34" w:space="0" w:color="FFFFFF"/>
            </w:tcBorders>
          </w:tcPr>
          <w:p>
            <w:pPr>
              <w:pStyle w:val="TableParagraph"/>
              <w:spacing w:line="217" w:lineRule="exact"/>
              <w:rPr>
                <w:sz w:val="18"/>
              </w:rPr>
            </w:pPr>
            <w:r>
              <w:rPr>
                <w:color w:val="1A1A2D"/>
                <w:sz w:val="18"/>
              </w:rPr>
              <w:t>Personas con discapacidad bajo medidas de apoyo gestionadas por FUCAS.</w:t>
            </w:r>
          </w:p>
        </w:tc>
      </w:tr>
      <w:tr>
        <w:trPr>
          <w:trHeight w:val="553" w:hRule="atLeast"/>
        </w:trPr>
        <w:tc>
          <w:tcPr>
            <w:tcW w:w="2802" w:type="dxa"/>
            <w:shd w:val="clear" w:color="auto" w:fill="C7DCEF"/>
          </w:tcPr>
          <w:p>
            <w:pPr>
              <w:pStyle w:val="TableParagraph"/>
              <w:spacing w:before="88"/>
              <w:ind w:left="132"/>
              <w:rPr>
                <w:b/>
                <w:sz w:val="16"/>
              </w:rPr>
            </w:pPr>
            <w:r>
              <w:rPr>
                <w:b/>
                <w:color w:val="1A3556"/>
                <w:sz w:val="16"/>
              </w:rPr>
              <w:t>Destinatarios / Cesionarios</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Juzgados y Tribunales (remisión de documentación requerida).</w:t>
            </w:r>
          </w:p>
        </w:tc>
      </w:tr>
      <w:tr>
        <w:trPr>
          <w:trHeight w:val="474" w:hRule="atLeast"/>
        </w:trPr>
        <w:tc>
          <w:tcPr>
            <w:tcW w:w="2802" w:type="dxa"/>
            <w:shd w:val="clear" w:color="auto" w:fill="C7DCEF"/>
          </w:tcPr>
          <w:p>
            <w:pPr>
              <w:pStyle w:val="TableParagraph"/>
              <w:spacing w:before="9"/>
              <w:ind w:left="132"/>
              <w:rPr>
                <w:b/>
                <w:sz w:val="16"/>
              </w:rPr>
            </w:pPr>
            <w:r>
              <w:rPr>
                <w:b/>
                <w:color w:val="1A3556"/>
                <w:sz w:val="16"/>
              </w:rPr>
              <w:t>Plazo de conservación</w:t>
            </w:r>
          </w:p>
        </w:tc>
        <w:tc>
          <w:tcPr>
            <w:tcW w:w="6560" w:type="dxa"/>
            <w:tcBorders>
              <w:top w:val="single" w:sz="34" w:space="0" w:color="FFFFFF"/>
            </w:tcBorders>
          </w:tcPr>
          <w:p>
            <w:pPr>
              <w:pStyle w:val="TableParagraph"/>
              <w:spacing w:line="217" w:lineRule="exact"/>
              <w:rPr>
                <w:sz w:val="18"/>
              </w:rPr>
            </w:pPr>
            <w:r>
              <w:rPr>
                <w:color w:val="1A1A2D"/>
                <w:sz w:val="18"/>
              </w:rPr>
              <w:t>Mientras dure la medida de apoyo. Archivo documental: 10 años tras la extinción.</w:t>
            </w:r>
          </w:p>
        </w:tc>
      </w:tr>
      <w:tr>
        <w:trPr>
          <w:trHeight w:val="553" w:hRule="atLeast"/>
        </w:trPr>
        <w:tc>
          <w:tcPr>
            <w:tcW w:w="2802" w:type="dxa"/>
            <w:shd w:val="clear" w:color="auto" w:fill="C7DCEF"/>
          </w:tcPr>
          <w:p>
            <w:pPr>
              <w:pStyle w:val="TableParagraph"/>
              <w:spacing w:before="88"/>
              <w:ind w:left="132"/>
              <w:rPr>
                <w:b/>
                <w:sz w:val="16"/>
              </w:rPr>
            </w:pPr>
            <w:r>
              <w:rPr>
                <w:b/>
                <w:color w:val="1A3556"/>
                <w:sz w:val="16"/>
              </w:rPr>
              <w:t>Transferencias internacionales</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No se realizan transferencias internacionales de datos personales.</w:t>
            </w:r>
          </w:p>
        </w:tc>
      </w:tr>
      <w:tr>
        <w:trPr>
          <w:trHeight w:val="710" w:hRule="atLeast"/>
        </w:trPr>
        <w:tc>
          <w:tcPr>
            <w:tcW w:w="2802" w:type="dxa"/>
            <w:shd w:val="clear" w:color="auto" w:fill="C7DCEF"/>
          </w:tcPr>
          <w:p>
            <w:pPr>
              <w:pStyle w:val="TableParagraph"/>
              <w:spacing w:line="256" w:lineRule="auto" w:before="26"/>
              <w:ind w:left="132" w:right="267"/>
              <w:rPr>
                <w:b/>
                <w:sz w:val="16"/>
              </w:rPr>
            </w:pPr>
            <w:r>
              <w:rPr>
                <w:b/>
                <w:color w:val="1A3556"/>
                <w:sz w:val="16"/>
              </w:rPr>
              <w:t>Medidas técnicas y organizativas de seguridad</w:t>
            </w:r>
          </w:p>
        </w:tc>
        <w:tc>
          <w:tcPr>
            <w:tcW w:w="6560" w:type="dxa"/>
            <w:tcBorders>
              <w:top w:val="single" w:sz="34" w:space="0" w:color="FFFFFF"/>
            </w:tcBorders>
          </w:tcPr>
          <w:p>
            <w:pPr>
              <w:pStyle w:val="TableParagraph"/>
              <w:spacing w:line="256" w:lineRule="auto"/>
              <w:ind w:right="252"/>
              <w:rPr>
                <w:sz w:val="18"/>
              </w:rPr>
            </w:pPr>
            <w:r>
              <w:rPr>
                <w:color w:val="1A1A2D"/>
                <w:sz w:val="18"/>
              </w:rPr>
              <w:t>Acceso restringido al personal administrativo de la unidad tutelar; registro de entradas y salidas de documentación; archivo bajo llave; medidas ENS RD 311/2022.</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Encargados del tratamiento</w:t>
            </w:r>
          </w:p>
        </w:tc>
        <w:tc>
          <w:tcPr>
            <w:tcW w:w="6560" w:type="dxa"/>
            <w:shd w:val="clear" w:color="auto" w:fill="F4F6F8"/>
          </w:tcPr>
          <w:p>
            <w:pPr>
              <w:pStyle w:val="TableParagraph"/>
              <w:spacing w:before="79"/>
              <w:rPr>
                <w:sz w:val="18"/>
              </w:rPr>
            </w:pPr>
            <w:r>
              <w:rPr>
                <w:color w:val="1A1A2D"/>
                <w:sz w:val="18"/>
              </w:rPr>
              <w:t>No aplica.</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Nivel de riesgo / EIPD</w:t>
            </w:r>
          </w:p>
        </w:tc>
        <w:tc>
          <w:tcPr>
            <w:tcW w:w="6560" w:type="dxa"/>
            <w:shd w:val="clear" w:color="auto" w:fill="FFEDDD"/>
          </w:tcPr>
          <w:p>
            <w:pPr>
              <w:pStyle w:val="TableParagraph"/>
              <w:spacing w:before="79"/>
              <w:rPr>
                <w:sz w:val="18"/>
              </w:rPr>
            </w:pPr>
            <w:r>
              <w:rPr>
                <w:color w:val="1A1A2D"/>
                <w:sz w:val="18"/>
              </w:rPr>
              <w:t>ALTO – Archivo centralizado de datos sensibles de personas curateladas.</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0"/>
        <w:rPr>
          <w:sz w:val="14"/>
        </w:rPr>
      </w:pPr>
    </w:p>
    <w:p>
      <w:pPr>
        <w:spacing w:before="56"/>
        <w:ind w:left="906" w:right="261" w:firstLine="0"/>
        <w:jc w:val="center"/>
        <w:rPr>
          <w:sz w:val="22"/>
        </w:rPr>
      </w:pPr>
      <w:r>
        <w:rPr>
          <w:color w:val="4471C4"/>
          <w:sz w:val="22"/>
        </w:rPr>
        <w:t>20</w:t>
      </w:r>
    </w:p>
    <w:p>
      <w:pPr>
        <w:spacing w:after="0"/>
        <w:jc w:val="center"/>
        <w:rPr>
          <w:sz w:val="22"/>
        </w:rPr>
        <w:sectPr>
          <w:pgSz w:w="11910" w:h="16840"/>
          <w:pgMar w:top="1580" w:bottom="280" w:left="340" w:right="420"/>
        </w:sectPr>
      </w:pPr>
    </w:p>
    <w:p>
      <w:pPr>
        <w:spacing w:line="240" w:lineRule="auto" w:before="0"/>
        <w:rPr>
          <w:sz w:val="20"/>
        </w:rPr>
      </w:pPr>
      <w:r>
        <w:rPr/>
        <w:pict>
          <v:group style="position:absolute;margin-left:.000009pt;margin-top:36.832428pt;width:568.450pt;height:765.7pt;mso-position-horizontal-relative:page;mso-position-vertical-relative:page;z-index:-254781440" coordorigin="0,737" coordsize="11369,15314">
            <v:shape style="position:absolute;left:0;top:736;width:11198;height:15314" type="#_x0000_t75" stroked="false">
              <v:imagedata r:id="rId5" o:title=""/>
            </v:shape>
            <v:shape style="position:absolute;left:1104;top:2758;width:10265;height:356" coordorigin="1104,2758" coordsize="10265,356" path="m11368,3094l1104,3094,1104,3113,11368,3113,11368,3094m11368,2758l1104,2758,1104,2777,11368,2777,11368,2758e" filled="true" fillcolor="#aaaaaa" stroked="false">
              <v:path arrowok="t"/>
              <v:fill type="solid"/>
            </v:shape>
            <v:line style="position:absolute" from="1085,3725" to="1085,4016" stroked="true" strokeweight="1.92pt" strokecolor="#c45e09">
              <v:stroke dashstyle="solid"/>
            </v:line>
            <v:line style="position:absolute" from="1085,14678" to="1085,14968" stroked="true" strokeweight="1.92pt" strokecolor="#c45e09">
              <v:stroke dashstyle="solid"/>
            </v:line>
            <w10:wrap type="none"/>
          </v:group>
        </w:pict>
      </w: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6" w:after="1"/>
        <w:rPr>
          <w:sz w:val="16"/>
        </w:rPr>
      </w:pPr>
    </w:p>
    <w:p>
      <w:pPr>
        <w:spacing w:line="240" w:lineRule="auto"/>
        <w:ind w:left="764" w:right="0" w:firstLine="0"/>
        <w:rPr>
          <w:sz w:val="20"/>
        </w:rPr>
      </w:pPr>
      <w:r>
        <w:rPr>
          <w:sz w:val="20"/>
        </w:rPr>
        <w:pict>
          <v:shape style="width:513.25pt;height:15.85pt;mso-position-horizontal-relative:char;mso-position-vertical-relative:line" type="#_x0000_t202" filled="true" fillcolor="#c45e09" stroked="false">
            <w10:anchorlock/>
            <v:textbox inset="0,0,0,0">
              <w:txbxContent>
                <w:p>
                  <w:pPr>
                    <w:spacing w:line="292" w:lineRule="exact" w:before="0"/>
                    <w:ind w:left="139" w:right="0" w:firstLine="0"/>
                    <w:jc w:val="left"/>
                    <w:rPr>
                      <w:b/>
                      <w:sz w:val="24"/>
                    </w:rPr>
                  </w:pPr>
                  <w:r>
                    <w:rPr>
                      <w:b/>
                      <w:color w:val="FFFFFF"/>
                      <w:sz w:val="24"/>
                    </w:rPr>
                    <w:t>BLOQUE C: SERVICIOS GENERALES</w:t>
                  </w:r>
                </w:p>
              </w:txbxContent>
            </v:textbox>
            <v:fill type="solid"/>
          </v:shape>
        </w:pict>
      </w:r>
      <w:r>
        <w:rPr>
          <w:sz w:val="20"/>
        </w:rPr>
      </w:r>
    </w:p>
    <w:p>
      <w:pPr>
        <w:spacing w:line="240" w:lineRule="auto" w:before="0"/>
        <w:rPr>
          <w:sz w:val="20"/>
        </w:rPr>
      </w:pPr>
    </w:p>
    <w:p>
      <w:pPr>
        <w:spacing w:line="240" w:lineRule="auto" w:before="5"/>
        <w:rPr>
          <w:sz w:val="27"/>
        </w:rPr>
      </w:pPr>
      <w:r>
        <w:rPr/>
        <w:pict>
          <v:shape style="position:absolute;margin-left:55.200001pt;margin-top:17.942968pt;width:513.25pt;height:14.55pt;mso-position-horizontal-relative:page;mso-position-vertical-relative:paragraph;z-index:-251617280;mso-wrap-distance-left:0;mso-wrap-distance-right:0" type="#_x0000_t202" filled="true" fillcolor="#f4f6f8" stroked="false">
            <v:textbox inset="0,0,0,0">
              <w:txbxContent>
                <w:p>
                  <w:pPr>
                    <w:pStyle w:val="BodyText"/>
                    <w:spacing w:line="268" w:lineRule="exact"/>
                    <w:ind w:left="129"/>
                  </w:pPr>
                  <w:r>
                    <w:rPr>
                      <w:color w:val="C45E09"/>
                    </w:rPr>
                    <w:t>C-01 – Administración y contabilidad</w:t>
                  </w:r>
                </w:p>
              </w:txbxContent>
            </v:textbox>
            <v:fill type="solid"/>
            <w10:wrap type="topAndBottom"/>
          </v:shape>
        </w:pict>
      </w:r>
    </w:p>
    <w:p>
      <w:pPr>
        <w:spacing w:line="240" w:lineRule="auto" w:before="3" w:after="0"/>
        <w:rPr>
          <w:sz w:val="5"/>
        </w:rPr>
      </w:pPr>
    </w:p>
    <w:tbl>
      <w:tblPr>
        <w:tblW w:w="0" w:type="auto"/>
        <w:jc w:val="left"/>
        <w:tblInd w:w="79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554" w:hRule="atLeast"/>
        </w:trPr>
        <w:tc>
          <w:tcPr>
            <w:tcW w:w="2802" w:type="dxa"/>
            <w:shd w:val="clear" w:color="auto" w:fill="C7DCEF"/>
          </w:tcPr>
          <w:p>
            <w:pPr>
              <w:pStyle w:val="TableParagraph"/>
              <w:spacing w:before="88"/>
              <w:ind w:left="132"/>
              <w:rPr>
                <w:b/>
                <w:sz w:val="16"/>
              </w:rPr>
            </w:pPr>
            <w:r>
              <w:rPr>
                <w:b/>
                <w:color w:val="1A3556"/>
                <w:sz w:val="16"/>
              </w:rPr>
              <w:t>Código</w:t>
            </w:r>
          </w:p>
        </w:tc>
        <w:tc>
          <w:tcPr>
            <w:tcW w:w="6560" w:type="dxa"/>
          </w:tcPr>
          <w:p>
            <w:pPr>
              <w:pStyle w:val="TableParagraph"/>
              <w:spacing w:before="77"/>
              <w:rPr>
                <w:sz w:val="18"/>
              </w:rPr>
            </w:pPr>
            <w:r>
              <w:rPr>
                <w:color w:val="1A1A2D"/>
                <w:sz w:val="18"/>
              </w:rPr>
              <w:t>C-01</w:t>
            </w:r>
          </w:p>
        </w:tc>
      </w:tr>
      <w:tr>
        <w:trPr>
          <w:trHeight w:val="554" w:hRule="atLeast"/>
        </w:trPr>
        <w:tc>
          <w:tcPr>
            <w:tcW w:w="2802" w:type="dxa"/>
            <w:shd w:val="clear" w:color="auto" w:fill="C7DCEF"/>
          </w:tcPr>
          <w:p>
            <w:pPr>
              <w:pStyle w:val="TableParagraph"/>
              <w:spacing w:before="88"/>
              <w:ind w:left="132"/>
              <w:rPr>
                <w:b/>
                <w:sz w:val="16"/>
              </w:rPr>
            </w:pPr>
            <w:r>
              <w:rPr>
                <w:b/>
                <w:color w:val="1A3556"/>
                <w:sz w:val="16"/>
              </w:rPr>
              <w:t>Nombre del tratamiento</w:t>
            </w:r>
          </w:p>
        </w:tc>
        <w:tc>
          <w:tcPr>
            <w:tcW w:w="6560" w:type="dxa"/>
            <w:shd w:val="clear" w:color="auto" w:fill="F4F6F8"/>
          </w:tcPr>
          <w:p>
            <w:pPr>
              <w:pStyle w:val="TableParagraph"/>
              <w:spacing w:before="77"/>
              <w:rPr>
                <w:sz w:val="18"/>
              </w:rPr>
            </w:pPr>
            <w:r>
              <w:rPr>
                <w:color w:val="1A1A2D"/>
                <w:sz w:val="18"/>
              </w:rPr>
              <w:t>Administración y contabilidad</w:t>
            </w:r>
          </w:p>
        </w:tc>
      </w:tr>
      <w:tr>
        <w:trPr>
          <w:trHeight w:val="554" w:hRule="atLeast"/>
        </w:trPr>
        <w:tc>
          <w:tcPr>
            <w:tcW w:w="2802" w:type="dxa"/>
            <w:shd w:val="clear" w:color="auto" w:fill="C7DCEF"/>
          </w:tcPr>
          <w:p>
            <w:pPr>
              <w:pStyle w:val="TableParagraph"/>
              <w:spacing w:before="88"/>
              <w:ind w:left="132"/>
              <w:rPr>
                <w:b/>
                <w:sz w:val="16"/>
              </w:rPr>
            </w:pPr>
            <w:r>
              <w:rPr>
                <w:b/>
                <w:color w:val="1A3556"/>
                <w:sz w:val="16"/>
              </w:rPr>
              <w:t>Rol de FUCAS</w:t>
            </w:r>
          </w:p>
        </w:tc>
        <w:tc>
          <w:tcPr>
            <w:tcW w:w="6560" w:type="dxa"/>
          </w:tcPr>
          <w:p>
            <w:pPr>
              <w:pStyle w:val="TableParagraph"/>
              <w:spacing w:before="77"/>
              <w:rPr>
                <w:sz w:val="18"/>
              </w:rPr>
            </w:pPr>
            <w:r>
              <w:rPr>
                <w:color w:val="1A1A2D"/>
                <w:sz w:val="18"/>
              </w:rPr>
              <w:t>RESPONSABLE</w:t>
            </w:r>
          </w:p>
        </w:tc>
      </w:tr>
      <w:tr>
        <w:trPr>
          <w:trHeight w:val="1026" w:hRule="atLeast"/>
        </w:trPr>
        <w:tc>
          <w:tcPr>
            <w:tcW w:w="2802" w:type="dxa"/>
            <w:shd w:val="clear" w:color="auto" w:fill="C7DCEF"/>
          </w:tcPr>
          <w:p>
            <w:pPr>
              <w:pStyle w:val="TableParagraph"/>
              <w:ind w:left="0"/>
              <w:rPr>
                <w:sz w:val="16"/>
              </w:rPr>
            </w:pPr>
          </w:p>
          <w:p>
            <w:pPr>
              <w:pStyle w:val="TableParagraph"/>
              <w:spacing w:before="131"/>
              <w:ind w:left="132"/>
              <w:rPr>
                <w:b/>
                <w:sz w:val="16"/>
              </w:rPr>
            </w:pPr>
            <w:r>
              <w:rPr>
                <w:b/>
                <w:color w:val="1A3556"/>
                <w:sz w:val="16"/>
              </w:rPr>
              <w:t>Finalidad del tratamiento</w:t>
            </w:r>
          </w:p>
        </w:tc>
        <w:tc>
          <w:tcPr>
            <w:tcW w:w="6560" w:type="dxa"/>
            <w:tcBorders>
              <w:bottom w:val="single" w:sz="34" w:space="0" w:color="FFFFFF"/>
            </w:tcBorders>
            <w:shd w:val="clear" w:color="auto" w:fill="F4F6F8"/>
          </w:tcPr>
          <w:p>
            <w:pPr>
              <w:pStyle w:val="TableParagraph"/>
              <w:spacing w:line="256" w:lineRule="auto" w:before="79"/>
              <w:ind w:right="108"/>
              <w:rPr>
                <w:sz w:val="18"/>
              </w:rPr>
            </w:pPr>
            <w:r>
              <w:rPr>
                <w:color w:val="1A1A2D"/>
                <w:sz w:val="18"/>
              </w:rPr>
              <w:t>Gestión administrativa y contable de FUCAS: emisión de facturación, gestión de pagos e ingresos, control de gastos, pago de nóminas, contabilidad, seguros sociales, atención telefónica y gestión informativa por correo electrónico al personal.</w:t>
            </w:r>
          </w:p>
        </w:tc>
      </w:tr>
      <w:tr>
        <w:trPr>
          <w:trHeight w:val="949" w:hRule="atLeast"/>
        </w:trPr>
        <w:tc>
          <w:tcPr>
            <w:tcW w:w="2802" w:type="dxa"/>
            <w:shd w:val="clear" w:color="auto" w:fill="C7DCEF"/>
          </w:tcPr>
          <w:p>
            <w:pPr>
              <w:pStyle w:val="TableParagraph"/>
              <w:spacing w:before="5"/>
              <w:ind w:left="0"/>
              <w:rPr>
                <w:sz w:val="20"/>
              </w:rPr>
            </w:pPr>
          </w:p>
          <w:p>
            <w:pPr>
              <w:pStyle w:val="TableParagraph"/>
              <w:ind w:left="132"/>
              <w:rPr>
                <w:b/>
                <w:sz w:val="16"/>
              </w:rPr>
            </w:pPr>
            <w:r>
              <w:rPr>
                <w:b/>
                <w:color w:val="1A3556"/>
                <w:sz w:val="16"/>
              </w:rPr>
              <w:t>Base jurídica</w:t>
            </w:r>
          </w:p>
        </w:tc>
        <w:tc>
          <w:tcPr>
            <w:tcW w:w="6560" w:type="dxa"/>
            <w:tcBorders>
              <w:top w:val="single" w:sz="34" w:space="0" w:color="FFFFFF"/>
            </w:tcBorders>
          </w:tcPr>
          <w:p>
            <w:pPr>
              <w:pStyle w:val="TableParagraph"/>
              <w:spacing w:line="259" w:lineRule="auto"/>
              <w:ind w:right="411"/>
              <w:rPr>
                <w:sz w:val="18"/>
              </w:rPr>
            </w:pPr>
            <w:r>
              <w:rPr>
                <w:color w:val="1A1A2D"/>
                <w:sz w:val="18"/>
              </w:rPr>
              <w:t>Art. 6.1.b) y c) RGPD – Relación contractual y obligación legal contable y fiscal. Ley 2/1998 de Fundaciones Canarias; Ley 50/2002 de Fundaciones; Ley General Tributaria; Código de Comercio.</w:t>
            </w:r>
          </w:p>
        </w:tc>
      </w:tr>
      <w:tr>
        <w:trPr>
          <w:trHeight w:val="1026" w:hRule="atLeast"/>
        </w:trPr>
        <w:tc>
          <w:tcPr>
            <w:tcW w:w="2802" w:type="dxa"/>
            <w:shd w:val="clear" w:color="auto" w:fill="C7DCEF"/>
          </w:tcPr>
          <w:p>
            <w:pPr>
              <w:pStyle w:val="TableParagraph"/>
              <w:ind w:left="0"/>
              <w:rPr>
                <w:sz w:val="16"/>
              </w:rPr>
            </w:pPr>
          </w:p>
          <w:p>
            <w:pPr>
              <w:pStyle w:val="TableParagraph"/>
              <w:spacing w:before="131"/>
              <w:ind w:left="132"/>
              <w:rPr>
                <w:b/>
                <w:sz w:val="16"/>
              </w:rPr>
            </w:pPr>
            <w:r>
              <w:rPr>
                <w:b/>
                <w:color w:val="1A3556"/>
                <w:sz w:val="16"/>
              </w:rPr>
              <w:t>Categorías de datos personales</w:t>
            </w:r>
          </w:p>
        </w:tc>
        <w:tc>
          <w:tcPr>
            <w:tcW w:w="6560" w:type="dxa"/>
            <w:tcBorders>
              <w:bottom w:val="single" w:sz="34" w:space="0" w:color="FFFFFF"/>
            </w:tcBorders>
            <w:shd w:val="clear" w:color="auto" w:fill="F4F6F8"/>
          </w:tcPr>
          <w:p>
            <w:pPr>
              <w:pStyle w:val="TableParagraph"/>
              <w:spacing w:line="259" w:lineRule="auto" w:before="79"/>
              <w:ind w:right="145"/>
              <w:jc w:val="both"/>
              <w:rPr>
                <w:sz w:val="18"/>
              </w:rPr>
            </w:pPr>
            <w:r>
              <w:rPr>
                <w:color w:val="1A1A2D"/>
                <w:sz w:val="18"/>
              </w:rPr>
              <w:t>Datos</w:t>
            </w:r>
            <w:r>
              <w:rPr>
                <w:color w:val="1A1A2D"/>
                <w:spacing w:val="-5"/>
                <w:sz w:val="18"/>
              </w:rPr>
              <w:t> </w:t>
            </w:r>
            <w:r>
              <w:rPr>
                <w:color w:val="1A1A2D"/>
                <w:sz w:val="18"/>
              </w:rPr>
              <w:t>identificativos</w:t>
            </w:r>
            <w:r>
              <w:rPr>
                <w:color w:val="1A1A2D"/>
                <w:spacing w:val="-5"/>
                <w:sz w:val="18"/>
              </w:rPr>
              <w:t> </w:t>
            </w:r>
            <w:r>
              <w:rPr>
                <w:color w:val="1A1A2D"/>
                <w:sz w:val="18"/>
              </w:rPr>
              <w:t>(nombre,</w:t>
            </w:r>
            <w:r>
              <w:rPr>
                <w:color w:val="1A1A2D"/>
                <w:spacing w:val="-4"/>
                <w:sz w:val="18"/>
              </w:rPr>
              <w:t> </w:t>
            </w:r>
            <w:r>
              <w:rPr>
                <w:color w:val="1A1A2D"/>
                <w:sz w:val="18"/>
              </w:rPr>
              <w:t>apellidos,</w:t>
            </w:r>
            <w:r>
              <w:rPr>
                <w:color w:val="1A1A2D"/>
                <w:spacing w:val="-4"/>
                <w:sz w:val="18"/>
              </w:rPr>
              <w:t> </w:t>
            </w:r>
            <w:r>
              <w:rPr>
                <w:color w:val="1A1A2D"/>
                <w:sz w:val="18"/>
              </w:rPr>
              <w:t>DNI/NIF,</w:t>
            </w:r>
            <w:r>
              <w:rPr>
                <w:color w:val="1A1A2D"/>
                <w:spacing w:val="-4"/>
                <w:sz w:val="18"/>
              </w:rPr>
              <w:t> </w:t>
            </w:r>
            <w:r>
              <w:rPr>
                <w:color w:val="1A1A2D"/>
                <w:sz w:val="18"/>
              </w:rPr>
              <w:t>email,</w:t>
            </w:r>
            <w:r>
              <w:rPr>
                <w:color w:val="1A1A2D"/>
                <w:spacing w:val="-4"/>
                <w:sz w:val="18"/>
              </w:rPr>
              <w:t> </w:t>
            </w:r>
            <w:r>
              <w:rPr>
                <w:color w:val="1A1A2D"/>
                <w:sz w:val="18"/>
              </w:rPr>
              <w:t>teléfono,</w:t>
            </w:r>
            <w:r>
              <w:rPr>
                <w:color w:val="1A1A2D"/>
                <w:spacing w:val="-4"/>
                <w:sz w:val="18"/>
              </w:rPr>
              <w:t> </w:t>
            </w:r>
            <w:r>
              <w:rPr>
                <w:color w:val="1A1A2D"/>
                <w:sz w:val="18"/>
              </w:rPr>
              <w:t>dirección,</w:t>
            </w:r>
            <w:r>
              <w:rPr>
                <w:color w:val="1A1A2D"/>
                <w:spacing w:val="-5"/>
                <w:sz w:val="18"/>
              </w:rPr>
              <w:t> </w:t>
            </w:r>
            <w:r>
              <w:rPr>
                <w:color w:val="1A1A2D"/>
                <w:sz w:val="18"/>
              </w:rPr>
              <w:t>firma,</w:t>
            </w:r>
            <w:r>
              <w:rPr>
                <w:color w:val="1A1A2D"/>
                <w:spacing w:val="-4"/>
                <w:sz w:val="18"/>
              </w:rPr>
              <w:t> </w:t>
            </w:r>
            <w:r>
              <w:rPr>
                <w:color w:val="1A1A2D"/>
                <w:sz w:val="18"/>
              </w:rPr>
              <w:t>Nº Seguridad Social, mutualidad) de personal y terceros; datos económicos, financieros y bancarios.</w:t>
            </w:r>
          </w:p>
        </w:tc>
      </w:tr>
      <w:tr>
        <w:trPr>
          <w:trHeight w:val="712" w:hRule="atLeast"/>
        </w:trPr>
        <w:tc>
          <w:tcPr>
            <w:tcW w:w="2802" w:type="dxa"/>
            <w:shd w:val="clear" w:color="auto" w:fill="C7DCEF"/>
          </w:tcPr>
          <w:p>
            <w:pPr>
              <w:pStyle w:val="TableParagraph"/>
              <w:spacing w:before="129"/>
              <w:ind w:left="132"/>
              <w:rPr>
                <w:b/>
                <w:sz w:val="16"/>
              </w:rPr>
            </w:pPr>
            <w:r>
              <w:rPr>
                <w:b/>
                <w:color w:val="1A3556"/>
                <w:sz w:val="16"/>
              </w:rPr>
              <w:t>Colectivos de interesados</w:t>
            </w:r>
          </w:p>
        </w:tc>
        <w:tc>
          <w:tcPr>
            <w:tcW w:w="6560" w:type="dxa"/>
            <w:tcBorders>
              <w:top w:val="single" w:sz="34" w:space="0" w:color="FFFFFF"/>
            </w:tcBorders>
          </w:tcPr>
          <w:p>
            <w:pPr>
              <w:pStyle w:val="TableParagraph"/>
              <w:spacing w:line="256" w:lineRule="auto"/>
              <w:rPr>
                <w:sz w:val="18"/>
              </w:rPr>
            </w:pPr>
            <w:r>
              <w:rPr>
                <w:color w:val="1A1A2D"/>
                <w:sz w:val="18"/>
              </w:rPr>
              <w:t>Personal funcionario y laboral de FUCAS; terceros (proveedores, entidades colaboradoras).</w:t>
            </w:r>
          </w:p>
        </w:tc>
      </w:tr>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Destinatarios / Cesionarios</w:t>
            </w:r>
          </w:p>
        </w:tc>
        <w:tc>
          <w:tcPr>
            <w:tcW w:w="6560" w:type="dxa"/>
            <w:tcBorders>
              <w:bottom w:val="single" w:sz="34" w:space="0" w:color="FFFFFF"/>
            </w:tcBorders>
            <w:shd w:val="clear" w:color="auto" w:fill="F4F6F8"/>
          </w:tcPr>
          <w:p>
            <w:pPr>
              <w:pStyle w:val="TableParagraph"/>
              <w:spacing w:line="256" w:lineRule="auto" w:before="79"/>
              <w:rPr>
                <w:sz w:val="18"/>
              </w:rPr>
            </w:pPr>
            <w:r>
              <w:rPr>
                <w:color w:val="1A1A2D"/>
                <w:sz w:val="18"/>
              </w:rPr>
              <w:t>AEAT; Tesorería General de la Seguridad Social (TGSS); Intervención General de la Administración.</w:t>
            </w:r>
          </w:p>
        </w:tc>
      </w:tr>
      <w:tr>
        <w:trPr>
          <w:trHeight w:val="712" w:hRule="atLeast"/>
        </w:trPr>
        <w:tc>
          <w:tcPr>
            <w:tcW w:w="2802" w:type="dxa"/>
            <w:shd w:val="clear" w:color="auto" w:fill="C7DCEF"/>
          </w:tcPr>
          <w:p>
            <w:pPr>
              <w:pStyle w:val="TableParagraph"/>
              <w:spacing w:before="129"/>
              <w:ind w:left="132"/>
              <w:rPr>
                <w:b/>
                <w:sz w:val="16"/>
              </w:rPr>
            </w:pPr>
            <w:r>
              <w:rPr>
                <w:b/>
                <w:color w:val="1A3556"/>
                <w:sz w:val="16"/>
              </w:rPr>
              <w:t>Plazo de conservación</w:t>
            </w:r>
          </w:p>
        </w:tc>
        <w:tc>
          <w:tcPr>
            <w:tcW w:w="6560" w:type="dxa"/>
            <w:tcBorders>
              <w:top w:val="single" w:sz="34" w:space="0" w:color="FFFFFF"/>
            </w:tcBorders>
          </w:tcPr>
          <w:p>
            <w:pPr>
              <w:pStyle w:val="TableParagraph"/>
              <w:spacing w:line="256" w:lineRule="auto"/>
              <w:rPr>
                <w:sz w:val="18"/>
              </w:rPr>
            </w:pPr>
            <w:r>
              <w:rPr>
                <w:color w:val="1A1A2D"/>
                <w:sz w:val="18"/>
              </w:rPr>
              <w:t>Documentación contable y fiscal: 6 años. Documentación laboral: 4 años desde la extinción del contrato conforme a LISOS.</w:t>
            </w:r>
          </w:p>
        </w:tc>
      </w:tr>
      <w:tr>
        <w:trPr>
          <w:trHeight w:val="553" w:hRule="atLeast"/>
        </w:trPr>
        <w:tc>
          <w:tcPr>
            <w:tcW w:w="2802" w:type="dxa"/>
            <w:shd w:val="clear" w:color="auto" w:fill="C7DCEF"/>
          </w:tcPr>
          <w:p>
            <w:pPr>
              <w:pStyle w:val="TableParagraph"/>
              <w:spacing w:before="88"/>
              <w:ind w:left="132"/>
              <w:rPr>
                <w:b/>
                <w:sz w:val="16"/>
              </w:rPr>
            </w:pPr>
            <w:r>
              <w:rPr>
                <w:b/>
                <w:color w:val="1A3556"/>
                <w:sz w:val="16"/>
              </w:rPr>
              <w:t>Transferencias internacionales</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No se realizan transferencias internacionales de datos personales.</w:t>
            </w:r>
          </w:p>
        </w:tc>
      </w:tr>
      <w:tr>
        <w:trPr>
          <w:trHeight w:val="709" w:hRule="atLeast"/>
        </w:trPr>
        <w:tc>
          <w:tcPr>
            <w:tcW w:w="2802" w:type="dxa"/>
            <w:shd w:val="clear" w:color="auto" w:fill="C7DCEF"/>
          </w:tcPr>
          <w:p>
            <w:pPr>
              <w:pStyle w:val="TableParagraph"/>
              <w:spacing w:line="256" w:lineRule="auto" w:before="26"/>
              <w:ind w:left="132" w:right="267"/>
              <w:rPr>
                <w:b/>
                <w:sz w:val="16"/>
              </w:rPr>
            </w:pPr>
            <w:r>
              <w:rPr>
                <w:b/>
                <w:color w:val="1A3556"/>
                <w:sz w:val="16"/>
              </w:rPr>
              <w:t>Medidas técnicas y organizativas de seguridad</w:t>
            </w:r>
          </w:p>
        </w:tc>
        <w:tc>
          <w:tcPr>
            <w:tcW w:w="6560" w:type="dxa"/>
            <w:tcBorders>
              <w:top w:val="single" w:sz="34" w:space="0" w:color="FFFFFF"/>
            </w:tcBorders>
          </w:tcPr>
          <w:p>
            <w:pPr>
              <w:pStyle w:val="TableParagraph"/>
              <w:spacing w:line="256" w:lineRule="auto"/>
              <w:rPr>
                <w:sz w:val="18"/>
              </w:rPr>
            </w:pPr>
            <w:r>
              <w:rPr>
                <w:color w:val="1A1A2D"/>
                <w:sz w:val="18"/>
              </w:rPr>
              <w:t>Acceso restringido al departamento de administración; cifrado de datos bancarios; copias de seguridad; medidas ENS RD 311/2022.</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Encargados del tratamiento</w:t>
            </w:r>
          </w:p>
        </w:tc>
        <w:tc>
          <w:tcPr>
            <w:tcW w:w="6560" w:type="dxa"/>
            <w:shd w:val="clear" w:color="auto" w:fill="F4F6F8"/>
          </w:tcPr>
          <w:p>
            <w:pPr>
              <w:pStyle w:val="TableParagraph"/>
              <w:spacing w:before="79"/>
              <w:rPr>
                <w:sz w:val="18"/>
              </w:rPr>
            </w:pPr>
            <w:r>
              <w:rPr>
                <w:color w:val="1A1A2D"/>
                <w:sz w:val="18"/>
              </w:rPr>
              <w:t>Software contable ALEXIA (encargada con contrato art. 28 RGPD).</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Nivel de riesgo / EIPD</w:t>
            </w:r>
          </w:p>
        </w:tc>
        <w:tc>
          <w:tcPr>
            <w:tcW w:w="6560" w:type="dxa"/>
            <w:shd w:val="clear" w:color="auto" w:fill="FFF9CD"/>
          </w:tcPr>
          <w:p>
            <w:pPr>
              <w:pStyle w:val="TableParagraph"/>
              <w:spacing w:before="79"/>
              <w:rPr>
                <w:sz w:val="18"/>
              </w:rPr>
            </w:pPr>
            <w:r>
              <w:rPr>
                <w:color w:val="1A1A2D"/>
                <w:sz w:val="18"/>
              </w:rPr>
              <w:t>MEDIO – Datos económicos y de nóminas.</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
        <w:rPr>
          <w:sz w:val="15"/>
        </w:rPr>
      </w:pPr>
      <w:r>
        <w:rPr/>
        <w:pict>
          <v:shape style="position:absolute;margin-left:55.200001pt;margin-top:10.414907pt;width:513.25pt;height:14.55pt;mso-position-horizontal-relative:page;mso-position-vertical-relative:paragraph;z-index:-251616256;mso-wrap-distance-left:0;mso-wrap-distance-right:0" type="#_x0000_t202" filled="true" fillcolor="#f4f6f8" stroked="false">
            <v:textbox inset="0,0,0,0">
              <w:txbxContent>
                <w:p>
                  <w:pPr>
                    <w:pStyle w:val="BodyText"/>
                    <w:spacing w:line="268" w:lineRule="exact"/>
                    <w:ind w:left="129"/>
                  </w:pPr>
                  <w:r>
                    <w:rPr>
                      <w:color w:val="C45E09"/>
                    </w:rPr>
                    <w:t>C-02 – Contratación pública</w:t>
                  </w:r>
                </w:p>
              </w:txbxContent>
            </v:textbox>
            <v:fill type="solid"/>
            <w10:wrap type="topAndBottom"/>
          </v:shape>
        </w:pict>
      </w:r>
    </w:p>
    <w:p>
      <w:pPr>
        <w:spacing w:line="240" w:lineRule="auto" w:before="0"/>
        <w:rPr>
          <w:sz w:val="20"/>
        </w:rPr>
      </w:pPr>
    </w:p>
    <w:p>
      <w:pPr>
        <w:spacing w:line="240" w:lineRule="auto" w:before="5"/>
        <w:rPr>
          <w:sz w:val="25"/>
        </w:rPr>
      </w:pPr>
    </w:p>
    <w:p>
      <w:pPr>
        <w:spacing w:before="56"/>
        <w:ind w:left="906" w:right="261" w:firstLine="0"/>
        <w:jc w:val="center"/>
        <w:rPr>
          <w:sz w:val="22"/>
        </w:rPr>
      </w:pPr>
      <w:r>
        <w:rPr>
          <w:color w:val="4471C4"/>
          <w:sz w:val="22"/>
        </w:rPr>
        <w:t>21</w:t>
      </w:r>
    </w:p>
    <w:p>
      <w:pPr>
        <w:spacing w:after="0"/>
        <w:jc w:val="center"/>
        <w:rPr>
          <w:sz w:val="22"/>
        </w:rPr>
        <w:sectPr>
          <w:pgSz w:w="11910" w:h="16840"/>
          <w:pgMar w:top="1580" w:bottom="280" w:left="340" w:right="420"/>
        </w:sectPr>
      </w:pPr>
    </w:p>
    <w:p>
      <w:pPr>
        <w:spacing w:line="240" w:lineRule="auto" w:before="0"/>
        <w:rPr>
          <w:sz w:val="20"/>
        </w:rPr>
      </w:pPr>
      <w:r>
        <w:rPr/>
        <w:pict>
          <v:group style="position:absolute;margin-left:.000009pt;margin-top:36.832428pt;width:559.9pt;height:765.7pt;mso-position-horizontal-relative:page;mso-position-vertical-relative:page;z-index:-254779392" coordorigin="0,737" coordsize="11198,15314">
            <v:shape style="position:absolute;left:0;top:736;width:11198;height:15314" type="#_x0000_t75" stroked="false">
              <v:imagedata r:id="rId5" o:title=""/>
            </v:shape>
            <v:line style="position:absolute" from="1085,13089" to="1085,13380" stroked="true" strokeweight="1.92pt" strokecolor="#c45e09">
              <v:stroke dashstyle="solid"/>
            </v:line>
            <w10:wrap type="none"/>
          </v:group>
        </w:pict>
      </w:r>
    </w:p>
    <w:p>
      <w:pPr>
        <w:spacing w:line="240" w:lineRule="auto" w:before="0"/>
        <w:rPr>
          <w:sz w:val="20"/>
        </w:rPr>
      </w:pPr>
    </w:p>
    <w:p>
      <w:pPr>
        <w:spacing w:line="240" w:lineRule="auto" w:before="10" w:after="1"/>
        <w:rPr>
          <w:sz w:val="14"/>
        </w:rPr>
      </w:pPr>
    </w:p>
    <w:tbl>
      <w:tblPr>
        <w:tblW w:w="0" w:type="auto"/>
        <w:jc w:val="left"/>
        <w:tblInd w:w="79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474" w:hRule="atLeast"/>
        </w:trPr>
        <w:tc>
          <w:tcPr>
            <w:tcW w:w="2802" w:type="dxa"/>
            <w:shd w:val="clear" w:color="auto" w:fill="C7DCEF"/>
          </w:tcPr>
          <w:p>
            <w:pPr>
              <w:pStyle w:val="TableParagraph"/>
              <w:spacing w:before="11"/>
              <w:ind w:left="132"/>
              <w:rPr>
                <w:b/>
                <w:sz w:val="16"/>
              </w:rPr>
            </w:pPr>
            <w:r>
              <w:rPr>
                <w:b/>
                <w:color w:val="1A3556"/>
                <w:sz w:val="16"/>
              </w:rPr>
              <w:t>Código</w:t>
            </w:r>
          </w:p>
        </w:tc>
        <w:tc>
          <w:tcPr>
            <w:tcW w:w="6560" w:type="dxa"/>
            <w:tcBorders>
              <w:top w:val="single" w:sz="34" w:space="0" w:color="FFFFFF"/>
            </w:tcBorders>
          </w:tcPr>
          <w:p>
            <w:pPr>
              <w:pStyle w:val="TableParagraph"/>
              <w:spacing w:line="217" w:lineRule="exact"/>
              <w:rPr>
                <w:sz w:val="18"/>
              </w:rPr>
            </w:pPr>
            <w:r>
              <w:rPr>
                <w:color w:val="1A1A2D"/>
                <w:sz w:val="18"/>
              </w:rPr>
              <w:t>C-02</w:t>
            </w:r>
          </w:p>
        </w:tc>
      </w:tr>
      <w:tr>
        <w:trPr>
          <w:trHeight w:val="553" w:hRule="atLeast"/>
        </w:trPr>
        <w:tc>
          <w:tcPr>
            <w:tcW w:w="2802" w:type="dxa"/>
            <w:shd w:val="clear" w:color="auto" w:fill="C7DCEF"/>
          </w:tcPr>
          <w:p>
            <w:pPr>
              <w:pStyle w:val="TableParagraph"/>
              <w:spacing w:before="91"/>
              <w:ind w:left="132"/>
              <w:rPr>
                <w:b/>
                <w:sz w:val="16"/>
              </w:rPr>
            </w:pPr>
            <w:r>
              <w:rPr>
                <w:b/>
                <w:color w:val="1A3556"/>
                <w:sz w:val="16"/>
              </w:rPr>
              <w:t>Nombre del tratamiento</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Contratación pública</w:t>
            </w:r>
          </w:p>
        </w:tc>
      </w:tr>
      <w:tr>
        <w:trPr>
          <w:trHeight w:val="474" w:hRule="atLeast"/>
        </w:trPr>
        <w:tc>
          <w:tcPr>
            <w:tcW w:w="2802" w:type="dxa"/>
            <w:shd w:val="clear" w:color="auto" w:fill="C7DCEF"/>
          </w:tcPr>
          <w:p>
            <w:pPr>
              <w:pStyle w:val="TableParagraph"/>
              <w:spacing w:before="11"/>
              <w:ind w:left="132"/>
              <w:rPr>
                <w:b/>
                <w:sz w:val="16"/>
              </w:rPr>
            </w:pPr>
            <w:r>
              <w:rPr>
                <w:b/>
                <w:color w:val="1A3556"/>
                <w:sz w:val="16"/>
              </w:rPr>
              <w:t>Rol de FUCAS</w:t>
            </w:r>
          </w:p>
        </w:tc>
        <w:tc>
          <w:tcPr>
            <w:tcW w:w="6560" w:type="dxa"/>
            <w:tcBorders>
              <w:top w:val="single" w:sz="34" w:space="0" w:color="FFFFFF"/>
            </w:tcBorders>
          </w:tcPr>
          <w:p>
            <w:pPr>
              <w:pStyle w:val="TableParagraph"/>
              <w:spacing w:line="217" w:lineRule="exact"/>
              <w:rPr>
                <w:sz w:val="18"/>
              </w:rPr>
            </w:pPr>
            <w:r>
              <w:rPr>
                <w:color w:val="1A1A2D"/>
                <w:sz w:val="18"/>
              </w:rPr>
              <w:t>RESPONSABLE</w:t>
            </w:r>
          </w:p>
        </w:tc>
      </w:tr>
      <w:tr>
        <w:trPr>
          <w:trHeight w:val="1026" w:hRule="atLeast"/>
        </w:trPr>
        <w:tc>
          <w:tcPr>
            <w:tcW w:w="2802" w:type="dxa"/>
            <w:shd w:val="clear" w:color="auto" w:fill="C7DCEF"/>
          </w:tcPr>
          <w:p>
            <w:pPr>
              <w:pStyle w:val="TableParagraph"/>
              <w:ind w:left="0"/>
              <w:rPr>
                <w:sz w:val="16"/>
              </w:rPr>
            </w:pPr>
          </w:p>
          <w:p>
            <w:pPr>
              <w:pStyle w:val="TableParagraph"/>
              <w:spacing w:before="131"/>
              <w:ind w:left="132"/>
              <w:rPr>
                <w:b/>
                <w:sz w:val="16"/>
              </w:rPr>
            </w:pPr>
            <w:r>
              <w:rPr>
                <w:b/>
                <w:color w:val="1A3556"/>
                <w:sz w:val="16"/>
              </w:rPr>
              <w:t>Finalidad del tratamiento</w:t>
            </w:r>
          </w:p>
        </w:tc>
        <w:tc>
          <w:tcPr>
            <w:tcW w:w="6560" w:type="dxa"/>
            <w:tcBorders>
              <w:bottom w:val="single" w:sz="34" w:space="0" w:color="FFFFFF"/>
            </w:tcBorders>
            <w:shd w:val="clear" w:color="auto" w:fill="F4F6F8"/>
          </w:tcPr>
          <w:p>
            <w:pPr>
              <w:pStyle w:val="TableParagraph"/>
              <w:spacing w:line="259" w:lineRule="auto" w:before="79"/>
              <w:ind w:right="235"/>
              <w:rPr>
                <w:sz w:val="18"/>
              </w:rPr>
            </w:pPr>
            <w:r>
              <w:rPr>
                <w:color w:val="1A1A2D"/>
                <w:sz w:val="18"/>
              </w:rPr>
              <w:t>Gestión de la contratación pública de FUCAS conforme a la LCSP: tramitación de licitaciones, control de la ejecución de contratos, gestión de incidencias, modificaciones y resoluciones contractuales.</w:t>
            </w:r>
          </w:p>
        </w:tc>
      </w:tr>
      <w:tr>
        <w:trPr>
          <w:trHeight w:val="712" w:hRule="atLeast"/>
        </w:trPr>
        <w:tc>
          <w:tcPr>
            <w:tcW w:w="2802" w:type="dxa"/>
            <w:shd w:val="clear" w:color="auto" w:fill="C7DCEF"/>
          </w:tcPr>
          <w:p>
            <w:pPr>
              <w:pStyle w:val="TableParagraph"/>
              <w:spacing w:before="131"/>
              <w:ind w:left="132"/>
              <w:rPr>
                <w:b/>
                <w:sz w:val="16"/>
              </w:rPr>
            </w:pPr>
            <w:r>
              <w:rPr>
                <w:b/>
                <w:color w:val="1A3556"/>
                <w:sz w:val="16"/>
              </w:rPr>
              <w:t>Base jurídica</w:t>
            </w:r>
          </w:p>
        </w:tc>
        <w:tc>
          <w:tcPr>
            <w:tcW w:w="6560" w:type="dxa"/>
            <w:tcBorders>
              <w:top w:val="single" w:sz="34" w:space="0" w:color="FFFFFF"/>
            </w:tcBorders>
          </w:tcPr>
          <w:p>
            <w:pPr>
              <w:pStyle w:val="TableParagraph"/>
              <w:spacing w:line="254" w:lineRule="auto" w:before="2"/>
              <w:ind w:right="429"/>
              <w:rPr>
                <w:sz w:val="18"/>
              </w:rPr>
            </w:pPr>
            <w:r>
              <w:rPr>
                <w:color w:val="1A1A2D"/>
                <w:sz w:val="18"/>
              </w:rPr>
              <w:t>Art. 6.1.b) y c) RGPD – Relación contractual y obligación legal. Ley 9/2017, de 8 de noviembre, de Contratos del Sector Público (LCSP); Ley 50/2002; Ley 2/1998.</w:t>
            </w:r>
          </w:p>
        </w:tc>
      </w:tr>
      <w:tr>
        <w:trPr>
          <w:trHeight w:val="1028" w:hRule="atLeast"/>
        </w:trPr>
        <w:tc>
          <w:tcPr>
            <w:tcW w:w="2802" w:type="dxa"/>
            <w:shd w:val="clear" w:color="auto" w:fill="C7DCEF"/>
          </w:tcPr>
          <w:p>
            <w:pPr>
              <w:pStyle w:val="TableParagraph"/>
              <w:ind w:left="0"/>
              <w:rPr>
                <w:sz w:val="16"/>
              </w:rPr>
            </w:pPr>
          </w:p>
          <w:p>
            <w:pPr>
              <w:pStyle w:val="TableParagraph"/>
              <w:spacing w:before="133"/>
              <w:ind w:left="132"/>
              <w:rPr>
                <w:b/>
                <w:sz w:val="16"/>
              </w:rPr>
            </w:pPr>
            <w:r>
              <w:rPr>
                <w:b/>
                <w:color w:val="1A3556"/>
                <w:sz w:val="16"/>
              </w:rPr>
              <w:t>Categorías de datos personales</w:t>
            </w:r>
          </w:p>
        </w:tc>
        <w:tc>
          <w:tcPr>
            <w:tcW w:w="6560" w:type="dxa"/>
            <w:tcBorders>
              <w:bottom w:val="single" w:sz="34" w:space="0" w:color="FFFFFF"/>
            </w:tcBorders>
            <w:shd w:val="clear" w:color="auto" w:fill="F4F6F8"/>
          </w:tcPr>
          <w:p>
            <w:pPr>
              <w:pStyle w:val="TableParagraph"/>
              <w:spacing w:line="259" w:lineRule="auto" w:before="79"/>
              <w:ind w:right="108"/>
              <w:rPr>
                <w:sz w:val="18"/>
              </w:rPr>
            </w:pPr>
            <w:r>
              <w:rPr>
                <w:color w:val="1A1A2D"/>
                <w:sz w:val="18"/>
              </w:rPr>
              <w:t>Datos identificativos (nombre, apellidos, NIF/DNI, dirección, firma, e-mail) de solicitantes, licitadores, adjudicatarios, representantes legales y empleados partícipes en la ejecución; datos económicos y de transacciones.</w:t>
            </w:r>
          </w:p>
        </w:tc>
      </w:tr>
      <w:tr>
        <w:trPr>
          <w:trHeight w:val="712" w:hRule="atLeast"/>
        </w:trPr>
        <w:tc>
          <w:tcPr>
            <w:tcW w:w="2802" w:type="dxa"/>
            <w:shd w:val="clear" w:color="auto" w:fill="C7DCEF"/>
          </w:tcPr>
          <w:p>
            <w:pPr>
              <w:pStyle w:val="TableParagraph"/>
              <w:spacing w:before="129"/>
              <w:ind w:left="132"/>
              <w:rPr>
                <w:b/>
                <w:sz w:val="16"/>
              </w:rPr>
            </w:pPr>
            <w:r>
              <w:rPr>
                <w:b/>
                <w:color w:val="1A3556"/>
                <w:sz w:val="16"/>
              </w:rPr>
              <w:t>Colectivos de interesados</w:t>
            </w:r>
          </w:p>
        </w:tc>
        <w:tc>
          <w:tcPr>
            <w:tcW w:w="6560" w:type="dxa"/>
            <w:tcBorders>
              <w:top w:val="single" w:sz="34" w:space="0" w:color="FFFFFF"/>
            </w:tcBorders>
          </w:tcPr>
          <w:p>
            <w:pPr>
              <w:pStyle w:val="TableParagraph"/>
              <w:spacing w:line="256" w:lineRule="auto"/>
              <w:ind w:right="132"/>
              <w:rPr>
                <w:sz w:val="18"/>
              </w:rPr>
            </w:pPr>
            <w:r>
              <w:rPr>
                <w:color w:val="1A1A2D"/>
                <w:sz w:val="18"/>
              </w:rPr>
              <w:t>Solicitantes; licitadores; adjudicatarios/contratistas; representantes legales de personas jurídicas; empleados u operarios candidatos o participantes en la ejecución.</w:t>
            </w:r>
          </w:p>
        </w:tc>
      </w:tr>
      <w:tr>
        <w:trPr>
          <w:trHeight w:val="1026" w:hRule="atLeast"/>
        </w:trPr>
        <w:tc>
          <w:tcPr>
            <w:tcW w:w="2802" w:type="dxa"/>
            <w:shd w:val="clear" w:color="auto" w:fill="C7DCEF"/>
          </w:tcPr>
          <w:p>
            <w:pPr>
              <w:pStyle w:val="TableParagraph"/>
              <w:ind w:left="0"/>
              <w:rPr>
                <w:sz w:val="16"/>
              </w:rPr>
            </w:pPr>
          </w:p>
          <w:p>
            <w:pPr>
              <w:pStyle w:val="TableParagraph"/>
              <w:spacing w:before="131"/>
              <w:ind w:left="132"/>
              <w:rPr>
                <w:b/>
                <w:sz w:val="16"/>
              </w:rPr>
            </w:pPr>
            <w:r>
              <w:rPr>
                <w:b/>
                <w:color w:val="1A3556"/>
                <w:sz w:val="16"/>
              </w:rPr>
              <w:t>Destinatarios / Cesionarios</w:t>
            </w:r>
          </w:p>
        </w:tc>
        <w:tc>
          <w:tcPr>
            <w:tcW w:w="6560" w:type="dxa"/>
            <w:tcBorders>
              <w:bottom w:val="single" w:sz="34" w:space="0" w:color="FFFFFF"/>
            </w:tcBorders>
            <w:shd w:val="clear" w:color="auto" w:fill="F4F6F8"/>
          </w:tcPr>
          <w:p>
            <w:pPr>
              <w:pStyle w:val="TableParagraph"/>
              <w:spacing w:line="256" w:lineRule="auto" w:before="79"/>
              <w:ind w:right="166"/>
              <w:rPr>
                <w:sz w:val="18"/>
              </w:rPr>
            </w:pPr>
            <w:r>
              <w:rPr>
                <w:color w:val="1A1A2D"/>
                <w:sz w:val="18"/>
              </w:rPr>
              <w:t>Hacienda Pública y Administración Tributaria; órganos judiciales; organismos de la Seguridad Social; entidades aseguradoras; PLACE (Plataforma de Contratos del Sector Público) para publicidad.</w:t>
            </w:r>
          </w:p>
        </w:tc>
      </w:tr>
      <w:tr>
        <w:trPr>
          <w:trHeight w:val="712" w:hRule="atLeast"/>
        </w:trPr>
        <w:tc>
          <w:tcPr>
            <w:tcW w:w="2802" w:type="dxa"/>
            <w:shd w:val="clear" w:color="auto" w:fill="C7DCEF"/>
          </w:tcPr>
          <w:p>
            <w:pPr>
              <w:pStyle w:val="TableParagraph"/>
              <w:spacing w:before="129"/>
              <w:ind w:left="132"/>
              <w:rPr>
                <w:b/>
                <w:sz w:val="16"/>
              </w:rPr>
            </w:pPr>
            <w:r>
              <w:rPr>
                <w:b/>
                <w:color w:val="1A3556"/>
                <w:sz w:val="16"/>
              </w:rPr>
              <w:t>Plazo de conservación</w:t>
            </w:r>
          </w:p>
        </w:tc>
        <w:tc>
          <w:tcPr>
            <w:tcW w:w="6560" w:type="dxa"/>
            <w:tcBorders>
              <w:top w:val="single" w:sz="34" w:space="0" w:color="FFFFFF"/>
            </w:tcBorders>
          </w:tcPr>
          <w:p>
            <w:pPr>
              <w:pStyle w:val="TableParagraph"/>
              <w:spacing w:line="256" w:lineRule="auto"/>
              <w:rPr>
                <w:sz w:val="18"/>
              </w:rPr>
            </w:pPr>
            <w:r>
              <w:rPr>
                <w:color w:val="1A1A2D"/>
                <w:sz w:val="18"/>
              </w:rPr>
              <w:t>Durante la vigencia del contrato y 5 años adicionales. Expedientes de licitación: conservación indefinida como documentación institucional.</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Transferencias internacionales</w:t>
            </w:r>
          </w:p>
        </w:tc>
        <w:tc>
          <w:tcPr>
            <w:tcW w:w="6560" w:type="dxa"/>
            <w:shd w:val="clear" w:color="auto" w:fill="F4F6F8"/>
          </w:tcPr>
          <w:p>
            <w:pPr>
              <w:pStyle w:val="TableParagraph"/>
              <w:spacing w:before="77"/>
              <w:rPr>
                <w:sz w:val="18"/>
              </w:rPr>
            </w:pPr>
            <w:r>
              <w:rPr>
                <w:color w:val="1A1A2D"/>
                <w:sz w:val="18"/>
              </w:rPr>
              <w:t>No se realizan transferencias internacionales de datos personales.</w:t>
            </w:r>
          </w:p>
        </w:tc>
      </w:tr>
      <w:tr>
        <w:trPr>
          <w:trHeight w:val="1029" w:hRule="atLeast"/>
        </w:trPr>
        <w:tc>
          <w:tcPr>
            <w:tcW w:w="2802" w:type="dxa"/>
            <w:shd w:val="clear" w:color="auto" w:fill="C7DCEF"/>
          </w:tcPr>
          <w:p>
            <w:pPr>
              <w:pStyle w:val="TableParagraph"/>
              <w:spacing w:before="3"/>
              <w:ind w:left="0"/>
              <w:rPr>
                <w:sz w:val="18"/>
              </w:rPr>
            </w:pPr>
          </w:p>
          <w:p>
            <w:pPr>
              <w:pStyle w:val="TableParagraph"/>
              <w:spacing w:line="256" w:lineRule="auto"/>
              <w:ind w:left="132" w:right="267"/>
              <w:rPr>
                <w:b/>
                <w:sz w:val="16"/>
              </w:rPr>
            </w:pPr>
            <w:r>
              <w:rPr>
                <w:b/>
                <w:color w:val="1A3556"/>
                <w:sz w:val="16"/>
              </w:rPr>
              <w:t>Medidas técnicas y organizativas de seguridad</w:t>
            </w:r>
          </w:p>
        </w:tc>
        <w:tc>
          <w:tcPr>
            <w:tcW w:w="6560" w:type="dxa"/>
          </w:tcPr>
          <w:p>
            <w:pPr>
              <w:pStyle w:val="TableParagraph"/>
              <w:spacing w:line="259" w:lineRule="auto" w:before="79"/>
              <w:rPr>
                <w:sz w:val="18"/>
              </w:rPr>
            </w:pPr>
            <w:r>
              <w:rPr>
                <w:color w:val="1A1A2D"/>
                <w:sz w:val="18"/>
              </w:rPr>
              <w:t>Acceso restringido al personal de contratación; archivo seguro de pliegos y contratos; publicidad activa en PLACE con disociación de datos personales cuando proceda; medidas ENS RD 311/2022.</w:t>
            </w:r>
          </w:p>
        </w:tc>
      </w:tr>
      <w:tr>
        <w:trPr>
          <w:trHeight w:val="551" w:hRule="atLeast"/>
        </w:trPr>
        <w:tc>
          <w:tcPr>
            <w:tcW w:w="2802" w:type="dxa"/>
            <w:shd w:val="clear" w:color="auto" w:fill="C7DCEF"/>
          </w:tcPr>
          <w:p>
            <w:pPr>
              <w:pStyle w:val="TableParagraph"/>
              <w:spacing w:before="88"/>
              <w:ind w:left="132"/>
              <w:rPr>
                <w:b/>
                <w:sz w:val="16"/>
              </w:rPr>
            </w:pPr>
            <w:r>
              <w:rPr>
                <w:b/>
                <w:color w:val="1A3556"/>
                <w:sz w:val="16"/>
              </w:rPr>
              <w:t>Encargados del tratamiento</w:t>
            </w:r>
          </w:p>
        </w:tc>
        <w:tc>
          <w:tcPr>
            <w:tcW w:w="6560" w:type="dxa"/>
            <w:shd w:val="clear" w:color="auto" w:fill="F4F6F8"/>
          </w:tcPr>
          <w:p>
            <w:pPr>
              <w:pStyle w:val="TableParagraph"/>
              <w:spacing w:before="77"/>
              <w:rPr>
                <w:sz w:val="18"/>
              </w:rPr>
            </w:pPr>
            <w:r>
              <w:rPr>
                <w:color w:val="1A1A2D"/>
                <w:sz w:val="18"/>
              </w:rPr>
              <w:t>No aplica.</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Nivel de riesgo / EIPD</w:t>
            </w:r>
          </w:p>
        </w:tc>
        <w:tc>
          <w:tcPr>
            <w:tcW w:w="6560" w:type="dxa"/>
            <w:shd w:val="clear" w:color="auto" w:fill="FFF9CD"/>
          </w:tcPr>
          <w:p>
            <w:pPr>
              <w:pStyle w:val="TableParagraph"/>
              <w:spacing w:before="79"/>
              <w:rPr>
                <w:sz w:val="18"/>
              </w:rPr>
            </w:pPr>
            <w:r>
              <w:rPr>
                <w:color w:val="1A1A2D"/>
                <w:sz w:val="18"/>
              </w:rPr>
              <w:t>MEDIO – Datos ordinarios de relaciones contractuales.</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
        <w:rPr>
          <w:sz w:val="15"/>
        </w:rPr>
      </w:pPr>
      <w:r>
        <w:rPr/>
        <w:pict>
          <v:shape style="position:absolute;margin-left:55.200001pt;margin-top:10.448906pt;width:513.25pt;height:14.55pt;mso-position-horizontal-relative:page;mso-position-vertical-relative:paragraph;z-index:-251614208;mso-wrap-distance-left:0;mso-wrap-distance-right:0" type="#_x0000_t202" filled="true" fillcolor="#f4f6f8" stroked="false">
            <v:textbox inset="0,0,0,0">
              <w:txbxContent>
                <w:p>
                  <w:pPr>
                    <w:pStyle w:val="BodyText"/>
                    <w:spacing w:line="268" w:lineRule="exact"/>
                    <w:ind w:left="129"/>
                  </w:pPr>
                  <w:r>
                    <w:rPr>
                      <w:color w:val="C45E09"/>
                    </w:rPr>
                    <w:t>C-03 – Gestión de recursos humanos y personal</w:t>
                  </w:r>
                </w:p>
              </w:txbxContent>
            </v:textbox>
            <v:fill type="solid"/>
            <w10:wrap type="topAndBottom"/>
          </v:shape>
        </w:pict>
      </w:r>
    </w:p>
    <w:p>
      <w:pPr>
        <w:spacing w:line="240" w:lineRule="auto" w:before="3" w:after="0"/>
        <w:rPr>
          <w:sz w:val="5"/>
        </w:rPr>
      </w:pPr>
    </w:p>
    <w:tbl>
      <w:tblPr>
        <w:tblW w:w="0" w:type="auto"/>
        <w:jc w:val="left"/>
        <w:tblInd w:w="79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474" w:hRule="atLeast"/>
        </w:trPr>
        <w:tc>
          <w:tcPr>
            <w:tcW w:w="2802" w:type="dxa"/>
            <w:shd w:val="clear" w:color="auto" w:fill="C7DCEF"/>
          </w:tcPr>
          <w:p>
            <w:pPr>
              <w:pStyle w:val="TableParagraph"/>
              <w:spacing w:before="11"/>
              <w:ind w:left="132"/>
              <w:rPr>
                <w:b/>
                <w:sz w:val="16"/>
              </w:rPr>
            </w:pPr>
            <w:r>
              <w:rPr>
                <w:b/>
                <w:color w:val="1A3556"/>
                <w:sz w:val="16"/>
              </w:rPr>
              <w:t>Código</w:t>
            </w:r>
          </w:p>
        </w:tc>
        <w:tc>
          <w:tcPr>
            <w:tcW w:w="6560" w:type="dxa"/>
            <w:tcBorders>
              <w:top w:val="single" w:sz="34" w:space="0" w:color="FFFFFF"/>
            </w:tcBorders>
          </w:tcPr>
          <w:p>
            <w:pPr>
              <w:pStyle w:val="TableParagraph"/>
              <w:spacing w:line="217" w:lineRule="exact"/>
              <w:rPr>
                <w:sz w:val="18"/>
              </w:rPr>
            </w:pPr>
            <w:r>
              <w:rPr>
                <w:color w:val="1A1A2D"/>
                <w:sz w:val="18"/>
              </w:rPr>
              <w:t>C-03</w:t>
            </w:r>
          </w:p>
        </w:tc>
      </w:tr>
      <w:tr>
        <w:trPr>
          <w:trHeight w:val="553" w:hRule="atLeast"/>
        </w:trPr>
        <w:tc>
          <w:tcPr>
            <w:tcW w:w="2802" w:type="dxa"/>
            <w:shd w:val="clear" w:color="auto" w:fill="C7DCEF"/>
          </w:tcPr>
          <w:p>
            <w:pPr>
              <w:pStyle w:val="TableParagraph"/>
              <w:spacing w:before="91"/>
              <w:ind w:left="132"/>
              <w:rPr>
                <w:b/>
                <w:sz w:val="16"/>
              </w:rPr>
            </w:pPr>
            <w:r>
              <w:rPr>
                <w:b/>
                <w:color w:val="1A3556"/>
                <w:sz w:val="16"/>
              </w:rPr>
              <w:t>Nombre del tratamiento</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Gestión de recursos humanos y personal</w:t>
            </w:r>
          </w:p>
        </w:tc>
      </w:tr>
      <w:tr>
        <w:trPr>
          <w:trHeight w:val="474" w:hRule="atLeast"/>
        </w:trPr>
        <w:tc>
          <w:tcPr>
            <w:tcW w:w="2802" w:type="dxa"/>
            <w:shd w:val="clear" w:color="auto" w:fill="C7DCEF"/>
          </w:tcPr>
          <w:p>
            <w:pPr>
              <w:pStyle w:val="TableParagraph"/>
              <w:spacing w:before="9"/>
              <w:ind w:left="132"/>
              <w:rPr>
                <w:b/>
                <w:sz w:val="16"/>
              </w:rPr>
            </w:pPr>
            <w:r>
              <w:rPr>
                <w:b/>
                <w:color w:val="1A3556"/>
                <w:sz w:val="16"/>
              </w:rPr>
              <w:t>Rol de FUCAS</w:t>
            </w:r>
          </w:p>
        </w:tc>
        <w:tc>
          <w:tcPr>
            <w:tcW w:w="6560" w:type="dxa"/>
            <w:tcBorders>
              <w:top w:val="single" w:sz="34" w:space="0" w:color="FFFFFF"/>
            </w:tcBorders>
          </w:tcPr>
          <w:p>
            <w:pPr>
              <w:pStyle w:val="TableParagraph"/>
              <w:spacing w:line="217" w:lineRule="exact"/>
              <w:rPr>
                <w:sz w:val="18"/>
              </w:rPr>
            </w:pPr>
            <w:r>
              <w:rPr>
                <w:color w:val="1A1A2D"/>
                <w:sz w:val="18"/>
              </w:rPr>
              <w:t>RESPONSABLE</w:t>
            </w:r>
          </w:p>
        </w:tc>
      </w:tr>
    </w:tbl>
    <w:p>
      <w:pPr>
        <w:spacing w:line="240" w:lineRule="auto" w:before="0"/>
        <w:rPr>
          <w:sz w:val="20"/>
        </w:rPr>
      </w:pPr>
    </w:p>
    <w:p>
      <w:pPr>
        <w:spacing w:line="240" w:lineRule="auto" w:before="3"/>
        <w:rPr>
          <w:sz w:val="17"/>
        </w:rPr>
      </w:pPr>
    </w:p>
    <w:p>
      <w:pPr>
        <w:spacing w:before="0"/>
        <w:ind w:left="906" w:right="261" w:firstLine="0"/>
        <w:jc w:val="center"/>
        <w:rPr>
          <w:sz w:val="22"/>
        </w:rPr>
      </w:pPr>
      <w:r>
        <w:rPr>
          <w:color w:val="4471C4"/>
          <w:sz w:val="22"/>
        </w:rPr>
        <w:t>22</w:t>
      </w:r>
    </w:p>
    <w:p>
      <w:pPr>
        <w:spacing w:after="0"/>
        <w:jc w:val="center"/>
        <w:rPr>
          <w:sz w:val="22"/>
        </w:rPr>
        <w:sectPr>
          <w:pgSz w:w="11910" w:h="16840"/>
          <w:pgMar w:top="1580" w:bottom="280" w:left="340" w:right="420"/>
        </w:sectPr>
      </w:pPr>
    </w:p>
    <w:p>
      <w:pPr>
        <w:spacing w:line="240" w:lineRule="auto" w:before="0"/>
        <w:rPr>
          <w:sz w:val="20"/>
        </w:rPr>
      </w:pPr>
      <w:r>
        <w:rPr/>
        <w:pict>
          <v:group style="position:absolute;margin-left:.000009pt;margin-top:36.832428pt;width:559.9pt;height:765.7pt;mso-position-horizontal-relative:page;mso-position-vertical-relative:page;z-index:-254777344" coordorigin="0,737" coordsize="11198,15314">
            <v:shape style="position:absolute;left:0;top:736;width:11198;height:15314" type="#_x0000_t75" stroked="false">
              <v:imagedata r:id="rId5" o:title=""/>
            </v:shape>
            <v:line style="position:absolute" from="1085,13545" to="1085,13836" stroked="true" strokeweight="1.92pt" strokecolor="#c45e09">
              <v:stroke dashstyle="solid"/>
            </v:line>
            <w10:wrap type="none"/>
          </v:group>
        </w:pict>
      </w:r>
    </w:p>
    <w:p>
      <w:pPr>
        <w:spacing w:line="240" w:lineRule="auto" w:before="0"/>
        <w:rPr>
          <w:sz w:val="20"/>
        </w:rPr>
      </w:pPr>
    </w:p>
    <w:p>
      <w:pPr>
        <w:spacing w:line="240" w:lineRule="auto" w:before="10" w:after="1"/>
        <w:rPr>
          <w:sz w:val="14"/>
        </w:rPr>
      </w:pPr>
    </w:p>
    <w:tbl>
      <w:tblPr>
        <w:tblW w:w="0" w:type="auto"/>
        <w:jc w:val="left"/>
        <w:tblInd w:w="79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1502" w:hRule="atLeast"/>
        </w:trPr>
        <w:tc>
          <w:tcPr>
            <w:tcW w:w="2802" w:type="dxa"/>
            <w:shd w:val="clear" w:color="auto" w:fill="C7DCEF"/>
          </w:tcPr>
          <w:p>
            <w:pPr>
              <w:pStyle w:val="TableParagraph"/>
              <w:ind w:left="0"/>
              <w:rPr>
                <w:sz w:val="16"/>
              </w:rPr>
            </w:pPr>
          </w:p>
          <w:p>
            <w:pPr>
              <w:pStyle w:val="TableParagraph"/>
              <w:ind w:left="0"/>
              <w:rPr>
                <w:sz w:val="16"/>
              </w:rPr>
            </w:pPr>
          </w:p>
          <w:p>
            <w:pPr>
              <w:pStyle w:val="TableParagraph"/>
              <w:spacing w:before="2"/>
              <w:ind w:left="0"/>
              <w:rPr>
                <w:sz w:val="14"/>
              </w:rPr>
            </w:pPr>
          </w:p>
          <w:p>
            <w:pPr>
              <w:pStyle w:val="TableParagraph"/>
              <w:ind w:left="132"/>
              <w:rPr>
                <w:b/>
                <w:sz w:val="16"/>
              </w:rPr>
            </w:pPr>
            <w:r>
              <w:rPr>
                <w:b/>
                <w:color w:val="1A3556"/>
                <w:sz w:val="16"/>
              </w:rPr>
              <w:t>Finalidad del tratamiento</w:t>
            </w:r>
          </w:p>
        </w:tc>
        <w:tc>
          <w:tcPr>
            <w:tcW w:w="6560" w:type="dxa"/>
            <w:shd w:val="clear" w:color="auto" w:fill="F4F6F8"/>
          </w:tcPr>
          <w:p>
            <w:pPr>
              <w:pStyle w:val="TableParagraph"/>
              <w:spacing w:line="259" w:lineRule="auto" w:before="79"/>
              <w:ind w:right="238"/>
              <w:rPr>
                <w:sz w:val="18"/>
              </w:rPr>
            </w:pPr>
            <w:r>
              <w:rPr>
                <w:color w:val="1A1A2D"/>
                <w:sz w:val="18"/>
              </w:rPr>
              <w:t>Gestión integral del ciclo laboral del personal de FUCAS: contratación, formación, gestión de nóminas, gestión de fichaje, control de horarios, prevención de riesgos laborales, evaluación de riesgos psicosociales, vigilancia de la salud, y selección (incluyendo verificación del certificado de delitos de naturaleza sexual para personal que trabaje con menores o personas vulnerables).</w:t>
            </w:r>
          </w:p>
        </w:tc>
      </w:tr>
      <w:tr>
        <w:trPr>
          <w:trHeight w:val="1502" w:hRule="atLeast"/>
        </w:trPr>
        <w:tc>
          <w:tcPr>
            <w:tcW w:w="2802" w:type="dxa"/>
            <w:shd w:val="clear" w:color="auto" w:fill="C7DCEF"/>
          </w:tcPr>
          <w:p>
            <w:pPr>
              <w:pStyle w:val="TableParagraph"/>
              <w:ind w:left="0"/>
              <w:rPr>
                <w:sz w:val="16"/>
              </w:rPr>
            </w:pPr>
          </w:p>
          <w:p>
            <w:pPr>
              <w:pStyle w:val="TableParagraph"/>
              <w:ind w:left="0"/>
              <w:rPr>
                <w:sz w:val="16"/>
              </w:rPr>
            </w:pPr>
          </w:p>
          <w:p>
            <w:pPr>
              <w:pStyle w:val="TableParagraph"/>
              <w:spacing w:before="2"/>
              <w:ind w:left="0"/>
              <w:rPr>
                <w:sz w:val="14"/>
              </w:rPr>
            </w:pPr>
          </w:p>
          <w:p>
            <w:pPr>
              <w:pStyle w:val="TableParagraph"/>
              <w:ind w:left="132"/>
              <w:rPr>
                <w:b/>
                <w:sz w:val="16"/>
              </w:rPr>
            </w:pPr>
            <w:r>
              <w:rPr>
                <w:b/>
                <w:color w:val="1A3556"/>
                <w:sz w:val="16"/>
              </w:rPr>
              <w:t>Base jurídica</w:t>
            </w:r>
          </w:p>
        </w:tc>
        <w:tc>
          <w:tcPr>
            <w:tcW w:w="6560" w:type="dxa"/>
          </w:tcPr>
          <w:p>
            <w:pPr>
              <w:pStyle w:val="TableParagraph"/>
              <w:spacing w:line="259" w:lineRule="auto" w:before="79"/>
              <w:ind w:right="115"/>
              <w:rPr>
                <w:sz w:val="18"/>
              </w:rPr>
            </w:pPr>
            <w:r>
              <w:rPr>
                <w:color w:val="1A1A2D"/>
                <w:sz w:val="18"/>
              </w:rPr>
              <w:t>Art. 6.1.b) y c) RGPD – Relación contractual y obligación legal; art. 9.2.b) RGPD – datos de salud (vigilancia de la salud laboral). EBEP (RDLeg 5/2015); Estatuto de los Trabajadores (ET); Ley de Prevención de Riesgos Laborales (Ley 31/1995); LGSS; LO 10/2022 (certificado de delitos sexuales para personal con menores o vulnerables). [ADICIÓN v2.1: incorporada LO 10/2022 no incluida en RAT anterior]</w:t>
            </w:r>
          </w:p>
        </w:tc>
      </w:tr>
      <w:tr>
        <w:trPr>
          <w:trHeight w:val="1739" w:hRule="atLeast"/>
        </w:trPr>
        <w:tc>
          <w:tcPr>
            <w:tcW w:w="2802" w:type="dxa"/>
            <w:shd w:val="clear" w:color="auto" w:fill="C7DCEF"/>
          </w:tcPr>
          <w:p>
            <w:pPr>
              <w:pStyle w:val="TableParagraph"/>
              <w:ind w:left="0"/>
              <w:rPr>
                <w:sz w:val="16"/>
              </w:rPr>
            </w:pPr>
          </w:p>
          <w:p>
            <w:pPr>
              <w:pStyle w:val="TableParagraph"/>
              <w:ind w:left="0"/>
              <w:rPr>
                <w:sz w:val="16"/>
              </w:rPr>
            </w:pPr>
          </w:p>
          <w:p>
            <w:pPr>
              <w:pStyle w:val="TableParagraph"/>
              <w:ind w:left="0"/>
              <w:rPr>
                <w:sz w:val="16"/>
              </w:rPr>
            </w:pPr>
          </w:p>
          <w:p>
            <w:pPr>
              <w:pStyle w:val="TableParagraph"/>
              <w:spacing w:before="98"/>
              <w:ind w:left="132"/>
              <w:rPr>
                <w:b/>
                <w:sz w:val="16"/>
              </w:rPr>
            </w:pPr>
            <w:r>
              <w:rPr>
                <w:b/>
                <w:color w:val="1A3556"/>
                <w:sz w:val="16"/>
              </w:rPr>
              <w:t>Categorías de datos personales</w:t>
            </w:r>
          </w:p>
        </w:tc>
        <w:tc>
          <w:tcPr>
            <w:tcW w:w="6560" w:type="dxa"/>
            <w:tcBorders>
              <w:bottom w:val="single" w:sz="34" w:space="0" w:color="FFFFFF"/>
            </w:tcBorders>
            <w:shd w:val="clear" w:color="auto" w:fill="F4F6F8"/>
          </w:tcPr>
          <w:p>
            <w:pPr>
              <w:pStyle w:val="TableParagraph"/>
              <w:spacing w:line="259" w:lineRule="auto" w:before="81"/>
              <w:ind w:right="235"/>
              <w:rPr>
                <w:sz w:val="18"/>
              </w:rPr>
            </w:pPr>
            <w:r>
              <w:rPr>
                <w:color w:val="1A1A2D"/>
                <w:sz w:val="18"/>
              </w:rPr>
              <w:t>CATEGORÍAS ESPECIALES: Datos de salud (IT, informes de vigilancia de la salud, accidentes laborales, riesgos psicosociales); datos de afiliación sindical (si comunicados para descuento de cuota); datos de carácter penal (certificado de delitos de naturaleza sexual, obligatorio para personal que trabaje con menores o personas vulnerables). Datos ordinarios: identificativos y de contacto; bancarios (nómina); académicos y profesionales; datos de jornada y absentismo.</w:t>
            </w:r>
          </w:p>
        </w:tc>
      </w:tr>
      <w:tr>
        <w:trPr>
          <w:trHeight w:val="474" w:hRule="atLeast"/>
        </w:trPr>
        <w:tc>
          <w:tcPr>
            <w:tcW w:w="2802" w:type="dxa"/>
            <w:shd w:val="clear" w:color="auto" w:fill="C7DCEF"/>
          </w:tcPr>
          <w:p>
            <w:pPr>
              <w:pStyle w:val="TableParagraph"/>
              <w:spacing w:before="11"/>
              <w:ind w:left="132"/>
              <w:rPr>
                <w:b/>
                <w:sz w:val="16"/>
              </w:rPr>
            </w:pPr>
            <w:r>
              <w:rPr>
                <w:b/>
                <w:color w:val="1A3556"/>
                <w:sz w:val="16"/>
              </w:rPr>
              <w:t>Colectivos de interesados</w:t>
            </w:r>
          </w:p>
        </w:tc>
        <w:tc>
          <w:tcPr>
            <w:tcW w:w="6560" w:type="dxa"/>
            <w:tcBorders>
              <w:top w:val="single" w:sz="34" w:space="0" w:color="FFFFFF"/>
            </w:tcBorders>
          </w:tcPr>
          <w:p>
            <w:pPr>
              <w:pStyle w:val="TableParagraph"/>
              <w:spacing w:line="219" w:lineRule="exact"/>
              <w:rPr>
                <w:sz w:val="18"/>
              </w:rPr>
            </w:pPr>
            <w:r>
              <w:rPr>
                <w:color w:val="1A1A2D"/>
                <w:sz w:val="18"/>
              </w:rPr>
              <w:t>Personal laboral, funcionario interino, en prácticas y voluntario de FUCAS.</w:t>
            </w:r>
          </w:p>
        </w:tc>
      </w:tr>
      <w:tr>
        <w:trPr>
          <w:trHeight w:val="1029" w:hRule="atLeast"/>
        </w:trPr>
        <w:tc>
          <w:tcPr>
            <w:tcW w:w="2802" w:type="dxa"/>
            <w:shd w:val="clear" w:color="auto" w:fill="C7DCEF"/>
          </w:tcPr>
          <w:p>
            <w:pPr>
              <w:pStyle w:val="TableParagraph"/>
              <w:ind w:left="0"/>
              <w:rPr>
                <w:sz w:val="16"/>
              </w:rPr>
            </w:pPr>
          </w:p>
          <w:p>
            <w:pPr>
              <w:pStyle w:val="TableParagraph"/>
              <w:spacing w:before="133"/>
              <w:ind w:left="132"/>
              <w:rPr>
                <w:b/>
                <w:sz w:val="16"/>
              </w:rPr>
            </w:pPr>
            <w:r>
              <w:rPr>
                <w:b/>
                <w:color w:val="1A3556"/>
                <w:sz w:val="16"/>
              </w:rPr>
              <w:t>Destinatarios / Cesionarios</w:t>
            </w:r>
          </w:p>
        </w:tc>
        <w:tc>
          <w:tcPr>
            <w:tcW w:w="6560" w:type="dxa"/>
            <w:tcBorders>
              <w:bottom w:val="single" w:sz="34" w:space="0" w:color="FFFFFF"/>
            </w:tcBorders>
            <w:shd w:val="clear" w:color="auto" w:fill="F4F6F8"/>
          </w:tcPr>
          <w:p>
            <w:pPr>
              <w:pStyle w:val="TableParagraph"/>
              <w:spacing w:line="259" w:lineRule="auto" w:before="79"/>
              <w:ind w:right="118"/>
              <w:rPr>
                <w:sz w:val="18"/>
              </w:rPr>
            </w:pPr>
            <w:r>
              <w:rPr>
                <w:color w:val="1A1A2D"/>
                <w:sz w:val="18"/>
              </w:rPr>
              <w:t>AEAT; TGSS e INSS; Intervención General de la Administración; sindicatos (datos de afiliados previa autorización); Inspección de Trabajo; Juzgados de lo Social; Servicio de Prevención.</w:t>
            </w:r>
          </w:p>
        </w:tc>
      </w:tr>
      <w:tr>
        <w:trPr>
          <w:trHeight w:val="947" w:hRule="atLeast"/>
        </w:trPr>
        <w:tc>
          <w:tcPr>
            <w:tcW w:w="2802" w:type="dxa"/>
            <w:shd w:val="clear" w:color="auto" w:fill="C7DCEF"/>
          </w:tcPr>
          <w:p>
            <w:pPr>
              <w:pStyle w:val="TableParagraph"/>
              <w:spacing w:before="2"/>
              <w:ind w:left="0"/>
              <w:rPr>
                <w:sz w:val="20"/>
              </w:rPr>
            </w:pPr>
          </w:p>
          <w:p>
            <w:pPr>
              <w:pStyle w:val="TableParagraph"/>
              <w:ind w:left="132"/>
              <w:rPr>
                <w:b/>
                <w:sz w:val="16"/>
              </w:rPr>
            </w:pPr>
            <w:r>
              <w:rPr>
                <w:b/>
                <w:color w:val="1A3556"/>
                <w:sz w:val="16"/>
              </w:rPr>
              <w:t>Plazo de conservación</w:t>
            </w:r>
          </w:p>
        </w:tc>
        <w:tc>
          <w:tcPr>
            <w:tcW w:w="6560" w:type="dxa"/>
            <w:tcBorders>
              <w:top w:val="single" w:sz="34" w:space="0" w:color="FFFFFF"/>
            </w:tcBorders>
          </w:tcPr>
          <w:p>
            <w:pPr>
              <w:pStyle w:val="TableParagraph"/>
              <w:spacing w:line="259" w:lineRule="auto"/>
              <w:ind w:right="110"/>
              <w:rPr>
                <w:sz w:val="18"/>
              </w:rPr>
            </w:pPr>
            <w:r>
              <w:rPr>
                <w:color w:val="1A1A2D"/>
                <w:sz w:val="18"/>
              </w:rPr>
              <w:t>Expediente personal: conservación indefinida. Nóminas: 6 años. Datos de vigilancia de la salud: 10 años. Datos disciplinarios: 3 años tras resolución firme. Contratos laborales: 4 años tras extinción conforme a LISOS.</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Transferencias internacionales</w:t>
            </w:r>
          </w:p>
        </w:tc>
        <w:tc>
          <w:tcPr>
            <w:tcW w:w="6560" w:type="dxa"/>
            <w:shd w:val="clear" w:color="auto" w:fill="F4F6F8"/>
          </w:tcPr>
          <w:p>
            <w:pPr>
              <w:pStyle w:val="TableParagraph"/>
              <w:spacing w:before="79"/>
              <w:rPr>
                <w:sz w:val="18"/>
              </w:rPr>
            </w:pPr>
            <w:r>
              <w:rPr>
                <w:color w:val="1A1A2D"/>
                <w:sz w:val="18"/>
              </w:rPr>
              <w:t>No se realizan transferencias internacionales de datos personales.</w:t>
            </w:r>
          </w:p>
        </w:tc>
      </w:tr>
      <w:tr>
        <w:trPr>
          <w:trHeight w:val="1029" w:hRule="atLeast"/>
        </w:trPr>
        <w:tc>
          <w:tcPr>
            <w:tcW w:w="2802" w:type="dxa"/>
            <w:shd w:val="clear" w:color="auto" w:fill="C7DCEF"/>
          </w:tcPr>
          <w:p>
            <w:pPr>
              <w:pStyle w:val="TableParagraph"/>
              <w:spacing w:before="5"/>
              <w:ind w:left="0"/>
              <w:rPr>
                <w:sz w:val="18"/>
              </w:rPr>
            </w:pPr>
          </w:p>
          <w:p>
            <w:pPr>
              <w:pStyle w:val="TableParagraph"/>
              <w:spacing w:line="256" w:lineRule="auto" w:before="1"/>
              <w:ind w:left="132" w:right="267"/>
              <w:rPr>
                <w:b/>
                <w:sz w:val="16"/>
              </w:rPr>
            </w:pPr>
            <w:r>
              <w:rPr>
                <w:b/>
                <w:color w:val="1A3556"/>
                <w:sz w:val="16"/>
              </w:rPr>
              <w:t>Medidas técnicas y organizativas de seguridad</w:t>
            </w:r>
          </w:p>
        </w:tc>
        <w:tc>
          <w:tcPr>
            <w:tcW w:w="6560" w:type="dxa"/>
          </w:tcPr>
          <w:p>
            <w:pPr>
              <w:pStyle w:val="TableParagraph"/>
              <w:spacing w:line="256" w:lineRule="auto" w:before="81"/>
              <w:rPr>
                <w:sz w:val="18"/>
              </w:rPr>
            </w:pPr>
            <w:r>
              <w:rPr>
                <w:color w:val="1A1A2D"/>
                <w:sz w:val="18"/>
              </w:rPr>
              <w:t>Acceso restringido al departamento de RRHH; separación lógica de datos de salud; cifrado de comunicaciones con la Seguridad Social; protocolo de confidencialidad firmado por RRHH; medidas ENS RD 311/2022.</w:t>
            </w:r>
          </w:p>
        </w:tc>
      </w:tr>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Encargados del tratamiento</w:t>
            </w:r>
          </w:p>
        </w:tc>
        <w:tc>
          <w:tcPr>
            <w:tcW w:w="6560" w:type="dxa"/>
            <w:shd w:val="clear" w:color="auto" w:fill="F4F6F8"/>
          </w:tcPr>
          <w:p>
            <w:pPr>
              <w:pStyle w:val="TableParagraph"/>
              <w:spacing w:line="256" w:lineRule="auto" w:before="79"/>
              <w:ind w:right="109"/>
              <w:rPr>
                <w:sz w:val="18"/>
              </w:rPr>
            </w:pPr>
            <w:r>
              <w:rPr>
                <w:color w:val="1A1A2D"/>
                <w:sz w:val="18"/>
              </w:rPr>
              <w:t>Software contable ALEXIA (nóminas y seguros sociales, encargada con contrato art. 28 RGPD); servicio de prevención ajeno (si externalizado).</w:t>
            </w:r>
          </w:p>
        </w:tc>
      </w:tr>
      <w:tr>
        <w:trPr>
          <w:trHeight w:val="554" w:hRule="atLeast"/>
        </w:trPr>
        <w:tc>
          <w:tcPr>
            <w:tcW w:w="2802" w:type="dxa"/>
            <w:shd w:val="clear" w:color="auto" w:fill="C7DCEF"/>
          </w:tcPr>
          <w:p>
            <w:pPr>
              <w:pStyle w:val="TableParagraph"/>
              <w:spacing w:before="88"/>
              <w:ind w:left="132"/>
              <w:rPr>
                <w:b/>
                <w:sz w:val="16"/>
              </w:rPr>
            </w:pPr>
            <w:r>
              <w:rPr>
                <w:b/>
                <w:color w:val="1A3556"/>
                <w:sz w:val="16"/>
              </w:rPr>
              <w:t>Nivel de riesgo / EIPD</w:t>
            </w:r>
          </w:p>
        </w:tc>
        <w:tc>
          <w:tcPr>
            <w:tcW w:w="6560" w:type="dxa"/>
            <w:shd w:val="clear" w:color="auto" w:fill="FFEDDD"/>
          </w:tcPr>
          <w:p>
            <w:pPr>
              <w:pStyle w:val="TableParagraph"/>
              <w:spacing w:before="77"/>
              <w:rPr>
                <w:sz w:val="18"/>
              </w:rPr>
            </w:pPr>
            <w:r>
              <w:rPr>
                <w:color w:val="1A1A2D"/>
                <w:sz w:val="18"/>
              </w:rPr>
              <w:t>ALTO – Datos de salud de empleados y datos penales en selección.</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1"/>
        <w:rPr>
          <w:sz w:val="14"/>
        </w:rPr>
      </w:pPr>
      <w:r>
        <w:rPr/>
        <w:pict>
          <v:shape style="position:absolute;margin-left:55.200001pt;margin-top:10.328906pt;width:513.25pt;height:14.55pt;mso-position-horizontal-relative:page;mso-position-vertical-relative:paragraph;z-index:-251612160;mso-wrap-distance-left:0;mso-wrap-distance-right:0" type="#_x0000_t202" filled="true" fillcolor="#f4f6f8" stroked="false">
            <v:textbox inset="0,0,0,0">
              <w:txbxContent>
                <w:p>
                  <w:pPr>
                    <w:pStyle w:val="BodyText"/>
                    <w:spacing w:line="268" w:lineRule="exact"/>
                    <w:ind w:left="129"/>
                  </w:pPr>
                  <w:r>
                    <w:rPr>
                      <w:color w:val="C45E09"/>
                    </w:rPr>
                    <w:t>C-04 – Gestión económico-financiera (subvenciones y encargos)</w:t>
                  </w:r>
                </w:p>
              </w:txbxContent>
            </v:textbox>
            <v:fill type="solid"/>
            <w10:wrap type="topAndBottom"/>
          </v:shape>
        </w:pict>
      </w:r>
    </w:p>
    <w:p>
      <w:pPr>
        <w:spacing w:line="240" w:lineRule="auto" w:before="3" w:after="0"/>
        <w:rPr>
          <w:sz w:val="5"/>
        </w:rPr>
      </w:pPr>
    </w:p>
    <w:tbl>
      <w:tblPr>
        <w:tblW w:w="0" w:type="auto"/>
        <w:jc w:val="left"/>
        <w:tblInd w:w="79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554" w:hRule="atLeast"/>
        </w:trPr>
        <w:tc>
          <w:tcPr>
            <w:tcW w:w="2802" w:type="dxa"/>
            <w:shd w:val="clear" w:color="auto" w:fill="C7DCEF"/>
          </w:tcPr>
          <w:p>
            <w:pPr>
              <w:pStyle w:val="TableParagraph"/>
              <w:spacing w:before="91"/>
              <w:ind w:left="132"/>
              <w:rPr>
                <w:b/>
                <w:sz w:val="16"/>
              </w:rPr>
            </w:pPr>
            <w:r>
              <w:rPr>
                <w:b/>
                <w:color w:val="1A3556"/>
                <w:sz w:val="16"/>
              </w:rPr>
              <w:t>Código</w:t>
            </w:r>
          </w:p>
        </w:tc>
        <w:tc>
          <w:tcPr>
            <w:tcW w:w="6560" w:type="dxa"/>
          </w:tcPr>
          <w:p>
            <w:pPr>
              <w:pStyle w:val="TableParagraph"/>
              <w:spacing w:before="77"/>
              <w:rPr>
                <w:sz w:val="18"/>
              </w:rPr>
            </w:pPr>
            <w:r>
              <w:rPr>
                <w:color w:val="1A1A2D"/>
                <w:sz w:val="18"/>
              </w:rPr>
              <w:t>C-04</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Nombre del tratamiento</w:t>
            </w:r>
          </w:p>
        </w:tc>
        <w:tc>
          <w:tcPr>
            <w:tcW w:w="6560" w:type="dxa"/>
            <w:shd w:val="clear" w:color="auto" w:fill="F4F6F8"/>
          </w:tcPr>
          <w:p>
            <w:pPr>
              <w:pStyle w:val="TableParagraph"/>
              <w:spacing w:before="77"/>
              <w:rPr>
                <w:sz w:val="18"/>
              </w:rPr>
            </w:pPr>
            <w:r>
              <w:rPr>
                <w:color w:val="1A1A2D"/>
                <w:sz w:val="18"/>
              </w:rPr>
              <w:t>Gestión económico-financiera (subvenciones y encargos)</w:t>
            </w:r>
          </w:p>
        </w:tc>
      </w:tr>
    </w:tbl>
    <w:p>
      <w:pPr>
        <w:spacing w:line="240" w:lineRule="auto" w:before="0"/>
        <w:rPr>
          <w:sz w:val="20"/>
        </w:rPr>
      </w:pPr>
    </w:p>
    <w:p>
      <w:pPr>
        <w:spacing w:line="240" w:lineRule="auto" w:before="1"/>
        <w:rPr>
          <w:sz w:val="21"/>
        </w:rPr>
      </w:pPr>
    </w:p>
    <w:p>
      <w:pPr>
        <w:spacing w:before="57"/>
        <w:ind w:left="906" w:right="261" w:firstLine="0"/>
        <w:jc w:val="center"/>
        <w:rPr>
          <w:sz w:val="22"/>
        </w:rPr>
      </w:pPr>
      <w:r>
        <w:rPr>
          <w:color w:val="4471C4"/>
          <w:sz w:val="22"/>
        </w:rPr>
        <w:t>23</w:t>
      </w:r>
    </w:p>
    <w:p>
      <w:pPr>
        <w:spacing w:after="0"/>
        <w:jc w:val="center"/>
        <w:rPr>
          <w:sz w:val="22"/>
        </w:rPr>
        <w:sectPr>
          <w:pgSz w:w="11910" w:h="16840"/>
          <w:pgMar w:top="1580" w:bottom="280" w:left="340" w:right="420"/>
        </w:sectPr>
      </w:pPr>
    </w:p>
    <w:p>
      <w:pPr>
        <w:spacing w:line="240" w:lineRule="auto" w:before="0"/>
        <w:rPr>
          <w:sz w:val="20"/>
        </w:rPr>
      </w:pPr>
      <w:r>
        <w:rPr/>
        <w:pict>
          <v:group style="position:absolute;margin-left:.000009pt;margin-top:36.832428pt;width:559.9pt;height:765.7pt;mso-position-horizontal-relative:page;mso-position-vertical-relative:page;z-index:-254775296" coordorigin="0,737" coordsize="11198,15314">
            <v:shape style="position:absolute;left:0;top:736;width:11198;height:15314" type="#_x0000_t75" stroked="false">
              <v:imagedata r:id="rId5" o:title=""/>
            </v:shape>
            <v:line style="position:absolute" from="1085,11260" to="1085,11550" stroked="true" strokeweight="1.92pt" strokecolor="#c45e09">
              <v:stroke dashstyle="solid"/>
            </v:line>
            <w10:wrap type="none"/>
          </v:group>
        </w:pict>
      </w:r>
    </w:p>
    <w:p>
      <w:pPr>
        <w:spacing w:line="240" w:lineRule="auto" w:before="0"/>
        <w:rPr>
          <w:sz w:val="20"/>
        </w:rPr>
      </w:pPr>
    </w:p>
    <w:p>
      <w:pPr>
        <w:spacing w:line="240" w:lineRule="auto" w:before="10" w:after="1"/>
        <w:rPr>
          <w:sz w:val="14"/>
        </w:rPr>
      </w:pPr>
    </w:p>
    <w:tbl>
      <w:tblPr>
        <w:tblW w:w="0" w:type="auto"/>
        <w:jc w:val="left"/>
        <w:tblInd w:w="79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474" w:hRule="atLeast"/>
        </w:trPr>
        <w:tc>
          <w:tcPr>
            <w:tcW w:w="2802" w:type="dxa"/>
            <w:shd w:val="clear" w:color="auto" w:fill="C7DCEF"/>
          </w:tcPr>
          <w:p>
            <w:pPr>
              <w:pStyle w:val="TableParagraph"/>
              <w:spacing w:before="11"/>
              <w:ind w:left="132"/>
              <w:rPr>
                <w:b/>
                <w:sz w:val="16"/>
              </w:rPr>
            </w:pPr>
            <w:r>
              <w:rPr>
                <w:b/>
                <w:color w:val="1A3556"/>
                <w:sz w:val="16"/>
              </w:rPr>
              <w:t>Rol de FUCAS</w:t>
            </w:r>
          </w:p>
        </w:tc>
        <w:tc>
          <w:tcPr>
            <w:tcW w:w="6560" w:type="dxa"/>
            <w:tcBorders>
              <w:top w:val="single" w:sz="34" w:space="0" w:color="FFFFFF"/>
            </w:tcBorders>
          </w:tcPr>
          <w:p>
            <w:pPr>
              <w:pStyle w:val="TableParagraph"/>
              <w:spacing w:line="217" w:lineRule="exact"/>
              <w:rPr>
                <w:sz w:val="18"/>
              </w:rPr>
            </w:pPr>
            <w:r>
              <w:rPr>
                <w:color w:val="1A1A2D"/>
                <w:sz w:val="18"/>
              </w:rPr>
              <w:t>RESPONSABLE</w:t>
            </w:r>
          </w:p>
        </w:tc>
      </w:tr>
      <w:tr>
        <w:trPr>
          <w:trHeight w:val="1029" w:hRule="atLeast"/>
        </w:trPr>
        <w:tc>
          <w:tcPr>
            <w:tcW w:w="2802" w:type="dxa"/>
            <w:shd w:val="clear" w:color="auto" w:fill="C7DCEF"/>
          </w:tcPr>
          <w:p>
            <w:pPr>
              <w:pStyle w:val="TableParagraph"/>
              <w:ind w:left="0"/>
              <w:rPr>
                <w:sz w:val="16"/>
              </w:rPr>
            </w:pPr>
          </w:p>
          <w:p>
            <w:pPr>
              <w:pStyle w:val="TableParagraph"/>
              <w:spacing w:before="131"/>
              <w:ind w:left="132"/>
              <w:rPr>
                <w:b/>
                <w:sz w:val="16"/>
              </w:rPr>
            </w:pPr>
            <w:r>
              <w:rPr>
                <w:b/>
                <w:color w:val="1A3556"/>
                <w:sz w:val="16"/>
              </w:rPr>
              <w:t>Finalidad del tratamiento</w:t>
            </w:r>
          </w:p>
        </w:tc>
        <w:tc>
          <w:tcPr>
            <w:tcW w:w="6560" w:type="dxa"/>
            <w:tcBorders>
              <w:bottom w:val="single" w:sz="34" w:space="0" w:color="FFFFFF"/>
            </w:tcBorders>
            <w:shd w:val="clear" w:color="auto" w:fill="F4F6F8"/>
          </w:tcPr>
          <w:p>
            <w:pPr>
              <w:pStyle w:val="TableParagraph"/>
              <w:spacing w:line="259" w:lineRule="auto" w:before="79"/>
              <w:ind w:right="235"/>
              <w:rPr>
                <w:sz w:val="18"/>
              </w:rPr>
            </w:pPr>
            <w:r>
              <w:rPr>
                <w:color w:val="1A1A2D"/>
                <w:sz w:val="18"/>
              </w:rPr>
              <w:t>Gestión de las subvenciones recibidas por FUCAS y de los encargos de gestión de la Administración autonómica: justificación económica, rendición de cuentas, seguimiento presupuestario y comunicaciones con la Intervención General.</w:t>
            </w:r>
          </w:p>
        </w:tc>
      </w:tr>
      <w:tr>
        <w:trPr>
          <w:trHeight w:val="709" w:hRule="atLeast"/>
        </w:trPr>
        <w:tc>
          <w:tcPr>
            <w:tcW w:w="2802" w:type="dxa"/>
            <w:shd w:val="clear" w:color="auto" w:fill="C7DCEF"/>
          </w:tcPr>
          <w:p>
            <w:pPr>
              <w:pStyle w:val="TableParagraph"/>
              <w:spacing w:before="129"/>
              <w:ind w:left="132"/>
              <w:rPr>
                <w:b/>
                <w:sz w:val="16"/>
              </w:rPr>
            </w:pPr>
            <w:r>
              <w:rPr>
                <w:b/>
                <w:color w:val="1A3556"/>
                <w:sz w:val="16"/>
              </w:rPr>
              <w:t>Base jurídica</w:t>
            </w:r>
          </w:p>
        </w:tc>
        <w:tc>
          <w:tcPr>
            <w:tcW w:w="6560" w:type="dxa"/>
            <w:tcBorders>
              <w:top w:val="single" w:sz="34" w:space="0" w:color="FFFFFF"/>
            </w:tcBorders>
          </w:tcPr>
          <w:p>
            <w:pPr>
              <w:pStyle w:val="TableParagraph"/>
              <w:spacing w:line="256" w:lineRule="auto"/>
              <w:ind w:right="687"/>
              <w:rPr>
                <w:sz w:val="18"/>
              </w:rPr>
            </w:pPr>
            <w:r>
              <w:rPr>
                <w:color w:val="1A1A2D"/>
                <w:sz w:val="18"/>
              </w:rPr>
              <w:t>Art. 6.1.c) RGPD – Obligación legal. Ley 38/2003 General de Subvenciones; Ley 11/2006 de Hacienda Pública Canaria; Ley 50/2002; Ley 2/1998.</w:t>
            </w:r>
          </w:p>
        </w:tc>
      </w:tr>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Categorías de datos personales</w:t>
            </w:r>
          </w:p>
        </w:tc>
        <w:tc>
          <w:tcPr>
            <w:tcW w:w="6560" w:type="dxa"/>
            <w:shd w:val="clear" w:color="auto" w:fill="F4F6F8"/>
          </w:tcPr>
          <w:p>
            <w:pPr>
              <w:pStyle w:val="TableParagraph"/>
              <w:spacing w:line="256" w:lineRule="auto" w:before="79"/>
              <w:ind w:right="235"/>
              <w:rPr>
                <w:sz w:val="18"/>
              </w:rPr>
            </w:pPr>
            <w:r>
              <w:rPr>
                <w:color w:val="1A1A2D"/>
                <w:sz w:val="18"/>
              </w:rPr>
              <w:t>Datos identificativos (nombre, apellidos, NIF/DNI, dirección, firma, e-mail) del personal de la entidad y terceros relacionados con los encargos o subvenciones.</w:t>
            </w:r>
          </w:p>
        </w:tc>
      </w:tr>
      <w:tr>
        <w:trPr>
          <w:trHeight w:val="792" w:hRule="atLeast"/>
        </w:trPr>
        <w:tc>
          <w:tcPr>
            <w:tcW w:w="2802" w:type="dxa"/>
            <w:shd w:val="clear" w:color="auto" w:fill="C7DCEF"/>
          </w:tcPr>
          <w:p>
            <w:pPr>
              <w:pStyle w:val="TableParagraph"/>
              <w:spacing w:before="1"/>
              <w:ind w:left="0"/>
              <w:rPr>
                <w:sz w:val="17"/>
              </w:rPr>
            </w:pPr>
          </w:p>
          <w:p>
            <w:pPr>
              <w:pStyle w:val="TableParagraph"/>
              <w:spacing w:before="1"/>
              <w:ind w:left="132"/>
              <w:rPr>
                <w:b/>
                <w:sz w:val="16"/>
              </w:rPr>
            </w:pPr>
            <w:r>
              <w:rPr>
                <w:b/>
                <w:color w:val="1A3556"/>
                <w:sz w:val="16"/>
              </w:rPr>
              <w:t>Colectivos de interesados</w:t>
            </w:r>
          </w:p>
        </w:tc>
        <w:tc>
          <w:tcPr>
            <w:tcW w:w="6560" w:type="dxa"/>
          </w:tcPr>
          <w:p>
            <w:pPr>
              <w:pStyle w:val="TableParagraph"/>
              <w:spacing w:line="256" w:lineRule="auto" w:before="80"/>
              <w:rPr>
                <w:sz w:val="18"/>
              </w:rPr>
            </w:pPr>
            <w:r>
              <w:rPr>
                <w:color w:val="1A1A2D"/>
                <w:sz w:val="18"/>
              </w:rPr>
              <w:t>Personal de la entidad; representantes de entidades beneficiarias o adjudicatarias; órganos de control.</w:t>
            </w:r>
          </w:p>
        </w:tc>
      </w:tr>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Destinatarios / Cesionarios</w:t>
            </w:r>
          </w:p>
        </w:tc>
        <w:tc>
          <w:tcPr>
            <w:tcW w:w="6560" w:type="dxa"/>
            <w:tcBorders>
              <w:bottom w:val="single" w:sz="34" w:space="0" w:color="FFFFFF"/>
            </w:tcBorders>
            <w:shd w:val="clear" w:color="auto" w:fill="F4F6F8"/>
          </w:tcPr>
          <w:p>
            <w:pPr>
              <w:pStyle w:val="TableParagraph"/>
              <w:spacing w:line="256" w:lineRule="auto" w:before="79"/>
              <w:ind w:right="235"/>
              <w:rPr>
                <w:sz w:val="18"/>
              </w:rPr>
            </w:pPr>
            <w:r>
              <w:rPr>
                <w:color w:val="1A1A2D"/>
                <w:sz w:val="18"/>
              </w:rPr>
              <w:t>Intervención General del Gobierno de Canarias; Tribunal de Cuentas; AEAT; órganos de fiscalización.</w:t>
            </w:r>
          </w:p>
        </w:tc>
      </w:tr>
      <w:tr>
        <w:trPr>
          <w:trHeight w:val="709" w:hRule="atLeast"/>
        </w:trPr>
        <w:tc>
          <w:tcPr>
            <w:tcW w:w="2802" w:type="dxa"/>
            <w:shd w:val="clear" w:color="auto" w:fill="C7DCEF"/>
          </w:tcPr>
          <w:p>
            <w:pPr>
              <w:pStyle w:val="TableParagraph"/>
              <w:spacing w:before="129"/>
              <w:ind w:left="132"/>
              <w:rPr>
                <w:b/>
                <w:sz w:val="16"/>
              </w:rPr>
            </w:pPr>
            <w:r>
              <w:rPr>
                <w:b/>
                <w:color w:val="1A3556"/>
                <w:sz w:val="16"/>
              </w:rPr>
              <w:t>Plazo de conservación</w:t>
            </w:r>
          </w:p>
        </w:tc>
        <w:tc>
          <w:tcPr>
            <w:tcW w:w="6560" w:type="dxa"/>
            <w:tcBorders>
              <w:top w:val="single" w:sz="34" w:space="0" w:color="FFFFFF"/>
            </w:tcBorders>
          </w:tcPr>
          <w:p>
            <w:pPr>
              <w:pStyle w:val="TableParagraph"/>
              <w:spacing w:line="256" w:lineRule="auto"/>
              <w:rPr>
                <w:sz w:val="18"/>
              </w:rPr>
            </w:pPr>
            <w:r>
              <w:rPr>
                <w:color w:val="1A1A2D"/>
                <w:sz w:val="18"/>
              </w:rPr>
              <w:t>6 años conforme a la Ley General de Subvenciones. Expedientes de encargos: según cada orden de encargo.</w:t>
            </w:r>
          </w:p>
        </w:tc>
      </w:tr>
      <w:tr>
        <w:trPr>
          <w:trHeight w:val="553" w:hRule="atLeast"/>
        </w:trPr>
        <w:tc>
          <w:tcPr>
            <w:tcW w:w="2802" w:type="dxa"/>
            <w:shd w:val="clear" w:color="auto" w:fill="C7DCEF"/>
          </w:tcPr>
          <w:p>
            <w:pPr>
              <w:pStyle w:val="TableParagraph"/>
              <w:spacing w:before="91"/>
              <w:ind w:left="132"/>
              <w:rPr>
                <w:b/>
                <w:sz w:val="16"/>
              </w:rPr>
            </w:pPr>
            <w:r>
              <w:rPr>
                <w:b/>
                <w:color w:val="1A3556"/>
                <w:sz w:val="16"/>
              </w:rPr>
              <w:t>Transferencias internacionales</w:t>
            </w:r>
          </w:p>
        </w:tc>
        <w:tc>
          <w:tcPr>
            <w:tcW w:w="6560" w:type="dxa"/>
            <w:tcBorders>
              <w:bottom w:val="single" w:sz="34" w:space="0" w:color="FFFFFF"/>
            </w:tcBorders>
            <w:shd w:val="clear" w:color="auto" w:fill="F4F6F8"/>
          </w:tcPr>
          <w:p>
            <w:pPr>
              <w:pStyle w:val="TableParagraph"/>
              <w:spacing w:before="79"/>
              <w:rPr>
                <w:sz w:val="18"/>
              </w:rPr>
            </w:pPr>
            <w:r>
              <w:rPr>
                <w:color w:val="1A1A2D"/>
                <w:sz w:val="18"/>
              </w:rPr>
              <w:t>No se realizan transferencias internacionales de datos personales.</w:t>
            </w:r>
          </w:p>
        </w:tc>
      </w:tr>
      <w:tr>
        <w:trPr>
          <w:trHeight w:val="712" w:hRule="atLeast"/>
        </w:trPr>
        <w:tc>
          <w:tcPr>
            <w:tcW w:w="2802" w:type="dxa"/>
            <w:shd w:val="clear" w:color="auto" w:fill="C7DCEF"/>
          </w:tcPr>
          <w:p>
            <w:pPr>
              <w:pStyle w:val="TableParagraph"/>
              <w:spacing w:line="254" w:lineRule="auto" w:before="28"/>
              <w:ind w:left="132" w:right="267"/>
              <w:rPr>
                <w:b/>
                <w:sz w:val="16"/>
              </w:rPr>
            </w:pPr>
            <w:r>
              <w:rPr>
                <w:b/>
                <w:color w:val="1A3556"/>
                <w:sz w:val="16"/>
              </w:rPr>
              <w:t>Medidas técnicas y organizativas de seguridad</w:t>
            </w:r>
          </w:p>
        </w:tc>
        <w:tc>
          <w:tcPr>
            <w:tcW w:w="6560" w:type="dxa"/>
            <w:tcBorders>
              <w:top w:val="single" w:sz="34" w:space="0" w:color="FFFFFF"/>
            </w:tcBorders>
          </w:tcPr>
          <w:p>
            <w:pPr>
              <w:pStyle w:val="TableParagraph"/>
              <w:spacing w:line="254" w:lineRule="auto" w:before="2"/>
              <w:ind w:right="212"/>
              <w:rPr>
                <w:sz w:val="18"/>
              </w:rPr>
            </w:pPr>
            <w:r>
              <w:rPr>
                <w:color w:val="1A1A2D"/>
                <w:sz w:val="18"/>
              </w:rPr>
              <w:t>Acceso restringido al personal económico-financiero; archivo seguro de justificantes; medidas ENS RD 311/2022.</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Encargados del tratamiento</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No aplica.</w:t>
            </w:r>
          </w:p>
        </w:tc>
      </w:tr>
      <w:tr>
        <w:trPr>
          <w:trHeight w:val="474" w:hRule="atLeast"/>
        </w:trPr>
        <w:tc>
          <w:tcPr>
            <w:tcW w:w="2802" w:type="dxa"/>
            <w:shd w:val="clear" w:color="auto" w:fill="C7DCEF"/>
          </w:tcPr>
          <w:p>
            <w:pPr>
              <w:pStyle w:val="TableParagraph"/>
              <w:spacing w:before="11"/>
              <w:ind w:left="132"/>
              <w:rPr>
                <w:b/>
                <w:sz w:val="16"/>
              </w:rPr>
            </w:pPr>
            <w:r>
              <w:rPr>
                <w:b/>
                <w:color w:val="1A3556"/>
                <w:sz w:val="16"/>
              </w:rPr>
              <w:t>Nivel de riesgo / EIPD</w:t>
            </w:r>
          </w:p>
        </w:tc>
        <w:tc>
          <w:tcPr>
            <w:tcW w:w="6560" w:type="dxa"/>
            <w:tcBorders>
              <w:top w:val="single" w:sz="34" w:space="0" w:color="FFFFFF"/>
            </w:tcBorders>
          </w:tcPr>
          <w:p>
            <w:pPr>
              <w:pStyle w:val="TableParagraph"/>
              <w:spacing w:line="217" w:lineRule="exact"/>
              <w:rPr>
                <w:sz w:val="18"/>
              </w:rPr>
            </w:pPr>
            <w:r>
              <w:rPr>
                <w:color w:val="1A1A2D"/>
                <w:sz w:val="18"/>
              </w:rPr>
              <w:t>BAJO – Datos identificativos ordinarios en contexto económico-administrativo.</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
        <w:rPr>
          <w:sz w:val="15"/>
        </w:rPr>
      </w:pPr>
      <w:r>
        <w:rPr/>
        <w:pict>
          <v:shape style="position:absolute;margin-left:55.200001pt;margin-top:10.418906pt;width:513.25pt;height:14.55pt;mso-position-horizontal-relative:page;mso-position-vertical-relative:paragraph;z-index:-251610112;mso-wrap-distance-left:0;mso-wrap-distance-right:0" type="#_x0000_t202" filled="true" fillcolor="#f4f6f8" stroked="false">
            <v:textbox inset="0,0,0,0">
              <w:txbxContent>
                <w:p>
                  <w:pPr>
                    <w:pStyle w:val="BodyText"/>
                    <w:spacing w:line="268" w:lineRule="exact"/>
                    <w:ind w:left="129"/>
                  </w:pPr>
                  <w:r>
                    <w:rPr>
                      <w:color w:val="C45E09"/>
                    </w:rPr>
                    <w:t>C-05 – Gestión informática (página web, correo electrónico, equipos y servidores)</w:t>
                  </w:r>
                </w:p>
              </w:txbxContent>
            </v:textbox>
            <v:fill type="solid"/>
            <w10:wrap type="topAndBottom"/>
          </v:shape>
        </w:pict>
      </w:r>
    </w:p>
    <w:p>
      <w:pPr>
        <w:spacing w:line="240" w:lineRule="auto" w:before="3" w:after="0"/>
        <w:rPr>
          <w:sz w:val="5"/>
        </w:rPr>
      </w:pPr>
    </w:p>
    <w:tbl>
      <w:tblPr>
        <w:tblW w:w="0" w:type="auto"/>
        <w:jc w:val="left"/>
        <w:tblInd w:w="79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474" w:hRule="atLeast"/>
        </w:trPr>
        <w:tc>
          <w:tcPr>
            <w:tcW w:w="2802" w:type="dxa"/>
            <w:shd w:val="clear" w:color="auto" w:fill="C7DCEF"/>
          </w:tcPr>
          <w:p>
            <w:pPr>
              <w:pStyle w:val="TableParagraph"/>
              <w:spacing w:before="9"/>
              <w:ind w:left="132"/>
              <w:rPr>
                <w:b/>
                <w:sz w:val="16"/>
              </w:rPr>
            </w:pPr>
            <w:r>
              <w:rPr>
                <w:b/>
                <w:color w:val="1A3556"/>
                <w:sz w:val="16"/>
              </w:rPr>
              <w:t>Código</w:t>
            </w:r>
          </w:p>
        </w:tc>
        <w:tc>
          <w:tcPr>
            <w:tcW w:w="6560" w:type="dxa"/>
            <w:tcBorders>
              <w:top w:val="single" w:sz="34" w:space="0" w:color="FFFFFF"/>
            </w:tcBorders>
          </w:tcPr>
          <w:p>
            <w:pPr>
              <w:pStyle w:val="TableParagraph"/>
              <w:spacing w:line="217" w:lineRule="exact"/>
              <w:rPr>
                <w:sz w:val="18"/>
              </w:rPr>
            </w:pPr>
            <w:r>
              <w:rPr>
                <w:color w:val="1A1A2D"/>
                <w:sz w:val="18"/>
              </w:rPr>
              <w:t>C-05</w:t>
            </w:r>
          </w:p>
        </w:tc>
      </w:tr>
      <w:tr>
        <w:trPr>
          <w:trHeight w:val="551" w:hRule="atLeast"/>
        </w:trPr>
        <w:tc>
          <w:tcPr>
            <w:tcW w:w="2802" w:type="dxa"/>
            <w:shd w:val="clear" w:color="auto" w:fill="C7DCEF"/>
          </w:tcPr>
          <w:p>
            <w:pPr>
              <w:pStyle w:val="TableParagraph"/>
              <w:spacing w:before="88"/>
              <w:ind w:left="132"/>
              <w:rPr>
                <w:b/>
                <w:sz w:val="16"/>
              </w:rPr>
            </w:pPr>
            <w:r>
              <w:rPr>
                <w:b/>
                <w:color w:val="1A3556"/>
                <w:sz w:val="16"/>
              </w:rPr>
              <w:t>Nombre del tratamiento</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Gestión informática (página web, correo electrónico, equipos y servidores)</w:t>
            </w:r>
          </w:p>
        </w:tc>
      </w:tr>
      <w:tr>
        <w:trPr>
          <w:trHeight w:val="475" w:hRule="atLeast"/>
        </w:trPr>
        <w:tc>
          <w:tcPr>
            <w:tcW w:w="2802" w:type="dxa"/>
            <w:shd w:val="clear" w:color="auto" w:fill="C7DCEF"/>
          </w:tcPr>
          <w:p>
            <w:pPr>
              <w:pStyle w:val="TableParagraph"/>
              <w:spacing w:before="11"/>
              <w:ind w:left="132"/>
              <w:rPr>
                <w:b/>
                <w:sz w:val="16"/>
              </w:rPr>
            </w:pPr>
            <w:r>
              <w:rPr>
                <w:b/>
                <w:color w:val="1A3556"/>
                <w:sz w:val="16"/>
              </w:rPr>
              <w:t>Rol de FUCAS</w:t>
            </w:r>
          </w:p>
        </w:tc>
        <w:tc>
          <w:tcPr>
            <w:tcW w:w="6560" w:type="dxa"/>
            <w:tcBorders>
              <w:top w:val="single" w:sz="34" w:space="0" w:color="FFFFFF"/>
            </w:tcBorders>
          </w:tcPr>
          <w:p>
            <w:pPr>
              <w:pStyle w:val="TableParagraph"/>
              <w:spacing w:line="219" w:lineRule="exact"/>
              <w:rPr>
                <w:sz w:val="18"/>
              </w:rPr>
            </w:pPr>
            <w:r>
              <w:rPr>
                <w:color w:val="1A1A2D"/>
                <w:sz w:val="18"/>
              </w:rPr>
              <w:t>RESPONSABLE</w:t>
            </w:r>
          </w:p>
        </w:tc>
      </w:tr>
      <w:tr>
        <w:trPr>
          <w:trHeight w:val="1028" w:hRule="atLeast"/>
        </w:trPr>
        <w:tc>
          <w:tcPr>
            <w:tcW w:w="2802" w:type="dxa"/>
            <w:shd w:val="clear" w:color="auto" w:fill="C7DCEF"/>
          </w:tcPr>
          <w:p>
            <w:pPr>
              <w:pStyle w:val="TableParagraph"/>
              <w:ind w:left="0"/>
              <w:rPr>
                <w:sz w:val="16"/>
              </w:rPr>
            </w:pPr>
          </w:p>
          <w:p>
            <w:pPr>
              <w:pStyle w:val="TableParagraph"/>
              <w:spacing w:before="133"/>
              <w:ind w:left="132"/>
              <w:rPr>
                <w:b/>
                <w:sz w:val="16"/>
              </w:rPr>
            </w:pPr>
            <w:r>
              <w:rPr>
                <w:b/>
                <w:color w:val="1A3556"/>
                <w:sz w:val="16"/>
              </w:rPr>
              <w:t>Finalidad del tratamiento</w:t>
            </w:r>
          </w:p>
        </w:tc>
        <w:tc>
          <w:tcPr>
            <w:tcW w:w="6560" w:type="dxa"/>
            <w:tcBorders>
              <w:bottom w:val="single" w:sz="34" w:space="0" w:color="FFFFFF"/>
            </w:tcBorders>
            <w:shd w:val="clear" w:color="auto" w:fill="F4F6F8"/>
          </w:tcPr>
          <w:p>
            <w:pPr>
              <w:pStyle w:val="TableParagraph"/>
              <w:spacing w:line="256" w:lineRule="auto" w:before="81"/>
              <w:rPr>
                <w:sz w:val="18"/>
              </w:rPr>
            </w:pPr>
            <w:r>
              <w:rPr>
                <w:color w:val="1A1A2D"/>
                <w:sz w:val="18"/>
              </w:rPr>
              <w:t>Gestión de la infraestructura tecnológica de FUCAS: administración de la página web institucional, cuentas de correo electrónico del personal, contraseñas, equipos informáticos, servidores y copias de seguridad.</w:t>
            </w:r>
          </w:p>
        </w:tc>
      </w:tr>
      <w:tr>
        <w:trPr>
          <w:trHeight w:val="947" w:hRule="atLeast"/>
        </w:trPr>
        <w:tc>
          <w:tcPr>
            <w:tcW w:w="2802" w:type="dxa"/>
            <w:shd w:val="clear" w:color="auto" w:fill="C7DCEF"/>
          </w:tcPr>
          <w:p>
            <w:pPr>
              <w:pStyle w:val="TableParagraph"/>
              <w:spacing w:before="2"/>
              <w:ind w:left="0"/>
              <w:rPr>
                <w:sz w:val="20"/>
              </w:rPr>
            </w:pPr>
          </w:p>
          <w:p>
            <w:pPr>
              <w:pStyle w:val="TableParagraph"/>
              <w:ind w:left="132"/>
              <w:rPr>
                <w:b/>
                <w:sz w:val="16"/>
              </w:rPr>
            </w:pPr>
            <w:r>
              <w:rPr>
                <w:b/>
                <w:color w:val="1A3556"/>
                <w:sz w:val="16"/>
              </w:rPr>
              <w:t>Base jurídica</w:t>
            </w:r>
          </w:p>
        </w:tc>
        <w:tc>
          <w:tcPr>
            <w:tcW w:w="6560" w:type="dxa"/>
            <w:tcBorders>
              <w:top w:val="single" w:sz="34" w:space="0" w:color="FFFFFF"/>
            </w:tcBorders>
          </w:tcPr>
          <w:p>
            <w:pPr>
              <w:pStyle w:val="TableParagraph"/>
              <w:spacing w:line="259" w:lineRule="auto"/>
              <w:ind w:right="178"/>
              <w:rPr>
                <w:sz w:val="18"/>
              </w:rPr>
            </w:pPr>
            <w:r>
              <w:rPr>
                <w:color w:val="1A1A2D"/>
                <w:sz w:val="18"/>
              </w:rPr>
              <w:t>Art. 6.1.c) RGPD – Obligación legal (ENS RD 311/2022; LOPDGDD art. 32). Ley 2/1998; Ley 50/2002. [CORRECCIÓN v2.1: la base del RD 3/2010 derogado se actualiza al ENS RD 311/2022 y al RGPD]</w:t>
            </w:r>
          </w:p>
        </w:tc>
      </w:tr>
    </w:tbl>
    <w:p>
      <w:pPr>
        <w:spacing w:line="240" w:lineRule="auto" w:before="5"/>
        <w:rPr>
          <w:sz w:val="13"/>
        </w:rPr>
      </w:pPr>
    </w:p>
    <w:p>
      <w:pPr>
        <w:spacing w:before="56"/>
        <w:ind w:left="906" w:right="261" w:firstLine="0"/>
        <w:jc w:val="center"/>
        <w:rPr>
          <w:sz w:val="22"/>
        </w:rPr>
      </w:pPr>
      <w:r>
        <w:rPr>
          <w:color w:val="4471C4"/>
          <w:sz w:val="22"/>
        </w:rPr>
        <w:t>24</w:t>
      </w:r>
    </w:p>
    <w:p>
      <w:pPr>
        <w:spacing w:after="0"/>
        <w:jc w:val="center"/>
        <w:rPr>
          <w:sz w:val="22"/>
        </w:rPr>
        <w:sectPr>
          <w:pgSz w:w="11910" w:h="16840"/>
          <w:pgMar w:top="1580" w:bottom="280" w:left="340" w:right="420"/>
        </w:sectPr>
      </w:pPr>
    </w:p>
    <w:p>
      <w:pPr>
        <w:spacing w:line="240" w:lineRule="auto" w:before="0"/>
        <w:rPr>
          <w:sz w:val="20"/>
        </w:rPr>
      </w:pPr>
      <w:r>
        <w:rPr/>
        <w:pict>
          <v:group style="position:absolute;margin-left:.000009pt;margin-top:36.832428pt;width:559.9pt;height:765.7pt;mso-position-horizontal-relative:page;mso-position-vertical-relative:page;z-index:-254773248" coordorigin="0,737" coordsize="11198,15314">
            <v:shape style="position:absolute;left:0;top:736;width:11198;height:15314" type="#_x0000_t75" stroked="false">
              <v:imagedata r:id="rId5" o:title=""/>
            </v:shape>
            <v:line style="position:absolute" from="1085,9131" to="1085,9421" stroked="true" strokeweight="1.92pt" strokecolor="#c45e09">
              <v:stroke dashstyle="solid"/>
            </v:line>
            <w10:wrap type="none"/>
          </v:group>
        </w:pict>
      </w:r>
    </w:p>
    <w:p>
      <w:pPr>
        <w:spacing w:line="240" w:lineRule="auto" w:before="0"/>
        <w:rPr>
          <w:sz w:val="20"/>
        </w:rPr>
      </w:pPr>
    </w:p>
    <w:p>
      <w:pPr>
        <w:spacing w:line="240" w:lineRule="auto" w:before="10" w:after="1"/>
        <w:rPr>
          <w:sz w:val="14"/>
        </w:rPr>
      </w:pPr>
    </w:p>
    <w:tbl>
      <w:tblPr>
        <w:tblW w:w="0" w:type="auto"/>
        <w:jc w:val="left"/>
        <w:tblInd w:w="79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1028" w:hRule="atLeast"/>
        </w:trPr>
        <w:tc>
          <w:tcPr>
            <w:tcW w:w="2802" w:type="dxa"/>
            <w:shd w:val="clear" w:color="auto" w:fill="C7DCEF"/>
          </w:tcPr>
          <w:p>
            <w:pPr>
              <w:pStyle w:val="TableParagraph"/>
              <w:ind w:left="0"/>
              <w:rPr>
                <w:sz w:val="16"/>
              </w:rPr>
            </w:pPr>
          </w:p>
          <w:p>
            <w:pPr>
              <w:pStyle w:val="TableParagraph"/>
              <w:spacing w:before="131"/>
              <w:ind w:left="132"/>
              <w:rPr>
                <w:b/>
                <w:sz w:val="16"/>
              </w:rPr>
            </w:pPr>
            <w:r>
              <w:rPr>
                <w:b/>
                <w:color w:val="1A3556"/>
                <w:sz w:val="16"/>
              </w:rPr>
              <w:t>Categorías de datos personales</w:t>
            </w:r>
          </w:p>
        </w:tc>
        <w:tc>
          <w:tcPr>
            <w:tcW w:w="6560" w:type="dxa"/>
            <w:tcBorders>
              <w:bottom w:val="single" w:sz="34" w:space="0" w:color="FFFFFF"/>
            </w:tcBorders>
            <w:shd w:val="clear" w:color="auto" w:fill="F4F6F8"/>
          </w:tcPr>
          <w:p>
            <w:pPr>
              <w:pStyle w:val="TableParagraph"/>
              <w:spacing w:line="259" w:lineRule="auto" w:before="79"/>
              <w:ind w:right="115"/>
              <w:rPr>
                <w:sz w:val="18"/>
              </w:rPr>
            </w:pPr>
            <w:r>
              <w:rPr>
                <w:color w:val="1A1A2D"/>
                <w:sz w:val="18"/>
              </w:rPr>
              <w:t>Datos identificativos (nombre, apellidos, NIF/DNI, dirección, firma, e-mail) de usuarios internos y personal; datos de acceso y logs de sistema; datos de formación y académicos cuando se almacenan en los sistemas.</w:t>
            </w:r>
          </w:p>
        </w:tc>
      </w:tr>
      <w:tr>
        <w:trPr>
          <w:trHeight w:val="474" w:hRule="atLeast"/>
        </w:trPr>
        <w:tc>
          <w:tcPr>
            <w:tcW w:w="2802" w:type="dxa"/>
            <w:shd w:val="clear" w:color="auto" w:fill="C7DCEF"/>
          </w:tcPr>
          <w:p>
            <w:pPr>
              <w:pStyle w:val="TableParagraph"/>
              <w:spacing w:before="9"/>
              <w:ind w:left="132"/>
              <w:rPr>
                <w:b/>
                <w:sz w:val="16"/>
              </w:rPr>
            </w:pPr>
            <w:r>
              <w:rPr>
                <w:b/>
                <w:color w:val="1A3556"/>
                <w:sz w:val="16"/>
              </w:rPr>
              <w:t>Colectivos de interesados</w:t>
            </w:r>
          </w:p>
        </w:tc>
        <w:tc>
          <w:tcPr>
            <w:tcW w:w="6560" w:type="dxa"/>
            <w:tcBorders>
              <w:top w:val="single" w:sz="34" w:space="0" w:color="FFFFFF"/>
            </w:tcBorders>
          </w:tcPr>
          <w:p>
            <w:pPr>
              <w:pStyle w:val="TableParagraph"/>
              <w:spacing w:line="217" w:lineRule="exact"/>
              <w:rPr>
                <w:sz w:val="18"/>
              </w:rPr>
            </w:pPr>
            <w:r>
              <w:rPr>
                <w:color w:val="1A1A2D"/>
                <w:sz w:val="18"/>
              </w:rPr>
              <w:t>Personal de FUCAS que utiliza los sistemas informáticos; usuarios de la página web.</w:t>
            </w:r>
          </w:p>
        </w:tc>
      </w:tr>
      <w:tr>
        <w:trPr>
          <w:trHeight w:val="553" w:hRule="atLeast"/>
        </w:trPr>
        <w:tc>
          <w:tcPr>
            <w:tcW w:w="2802" w:type="dxa"/>
            <w:shd w:val="clear" w:color="auto" w:fill="C7DCEF"/>
          </w:tcPr>
          <w:p>
            <w:pPr>
              <w:pStyle w:val="TableParagraph"/>
              <w:spacing w:before="88"/>
              <w:ind w:left="132"/>
              <w:rPr>
                <w:b/>
                <w:sz w:val="16"/>
              </w:rPr>
            </w:pPr>
            <w:r>
              <w:rPr>
                <w:b/>
                <w:color w:val="1A3556"/>
                <w:sz w:val="16"/>
              </w:rPr>
              <w:t>Destinatarios / Cesionarios</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No se ceden a terceros. Proveedor de alojamiento web y sistemas (encargado).</w:t>
            </w:r>
          </w:p>
        </w:tc>
      </w:tr>
      <w:tr>
        <w:trPr>
          <w:trHeight w:val="709" w:hRule="atLeast"/>
        </w:trPr>
        <w:tc>
          <w:tcPr>
            <w:tcW w:w="2802" w:type="dxa"/>
            <w:shd w:val="clear" w:color="auto" w:fill="C7DCEF"/>
          </w:tcPr>
          <w:p>
            <w:pPr>
              <w:pStyle w:val="TableParagraph"/>
              <w:spacing w:before="129"/>
              <w:ind w:left="132"/>
              <w:rPr>
                <w:b/>
                <w:sz w:val="16"/>
              </w:rPr>
            </w:pPr>
            <w:r>
              <w:rPr>
                <w:b/>
                <w:color w:val="1A3556"/>
                <w:sz w:val="16"/>
              </w:rPr>
              <w:t>Plazo de conservación</w:t>
            </w:r>
          </w:p>
        </w:tc>
        <w:tc>
          <w:tcPr>
            <w:tcW w:w="6560" w:type="dxa"/>
            <w:tcBorders>
              <w:top w:val="single" w:sz="34" w:space="0" w:color="FFFFFF"/>
            </w:tcBorders>
          </w:tcPr>
          <w:p>
            <w:pPr>
              <w:pStyle w:val="TableParagraph"/>
              <w:spacing w:line="254" w:lineRule="auto"/>
              <w:ind w:right="467"/>
              <w:rPr>
                <w:sz w:val="18"/>
              </w:rPr>
            </w:pPr>
            <w:r>
              <w:rPr>
                <w:color w:val="1A1A2D"/>
                <w:sz w:val="18"/>
              </w:rPr>
              <w:t>Logs de acceso y seguridad: 2 años. Cuentas de usuario: mientras dure la relación laboral más 90 días. Copias de seguridad: política de retención según ENS.</w:t>
            </w:r>
          </w:p>
        </w:tc>
      </w:tr>
      <w:tr>
        <w:trPr>
          <w:trHeight w:val="1029" w:hRule="atLeast"/>
        </w:trPr>
        <w:tc>
          <w:tcPr>
            <w:tcW w:w="2802" w:type="dxa"/>
            <w:shd w:val="clear" w:color="auto" w:fill="C7DCEF"/>
          </w:tcPr>
          <w:p>
            <w:pPr>
              <w:pStyle w:val="TableParagraph"/>
              <w:ind w:left="0"/>
              <w:rPr>
                <w:sz w:val="16"/>
              </w:rPr>
            </w:pPr>
          </w:p>
          <w:p>
            <w:pPr>
              <w:pStyle w:val="TableParagraph"/>
              <w:spacing w:before="134"/>
              <w:ind w:left="132"/>
              <w:rPr>
                <w:b/>
                <w:sz w:val="16"/>
              </w:rPr>
            </w:pPr>
            <w:r>
              <w:rPr>
                <w:b/>
                <w:color w:val="1A3556"/>
                <w:sz w:val="16"/>
              </w:rPr>
              <w:t>Transferencias internacionales</w:t>
            </w:r>
          </w:p>
        </w:tc>
        <w:tc>
          <w:tcPr>
            <w:tcW w:w="6560" w:type="dxa"/>
            <w:tcBorders>
              <w:bottom w:val="single" w:sz="34" w:space="0" w:color="FFFFFF"/>
            </w:tcBorders>
            <w:shd w:val="clear" w:color="auto" w:fill="F4F6F8"/>
          </w:tcPr>
          <w:p>
            <w:pPr>
              <w:pStyle w:val="TableParagraph"/>
              <w:spacing w:line="259" w:lineRule="auto" w:before="79"/>
              <w:rPr>
                <w:sz w:val="18"/>
              </w:rPr>
            </w:pPr>
            <w:r>
              <w:rPr>
                <w:color w:val="1A1A2D"/>
                <w:sz w:val="18"/>
              </w:rPr>
              <w:t>Posible transferencia a EE.UU. si se usan servicios en la nube de proveedores estadounidenses (con garantías adecuadas: cláusulas contractuales tipo). Indicar proveedor concreto y garantías aplicadas.</w:t>
            </w:r>
          </w:p>
        </w:tc>
      </w:tr>
      <w:tr>
        <w:trPr>
          <w:trHeight w:val="947" w:hRule="atLeast"/>
        </w:trPr>
        <w:tc>
          <w:tcPr>
            <w:tcW w:w="2802" w:type="dxa"/>
            <w:shd w:val="clear" w:color="auto" w:fill="C7DCEF"/>
          </w:tcPr>
          <w:p>
            <w:pPr>
              <w:pStyle w:val="TableParagraph"/>
              <w:spacing w:line="256" w:lineRule="auto" w:before="143"/>
              <w:ind w:left="132" w:right="267"/>
              <w:rPr>
                <w:b/>
                <w:sz w:val="16"/>
              </w:rPr>
            </w:pPr>
            <w:r>
              <w:rPr>
                <w:b/>
                <w:color w:val="1A3556"/>
                <w:sz w:val="16"/>
              </w:rPr>
              <w:t>Medidas técnicas y organizativas de seguridad</w:t>
            </w:r>
          </w:p>
        </w:tc>
        <w:tc>
          <w:tcPr>
            <w:tcW w:w="6560" w:type="dxa"/>
            <w:tcBorders>
              <w:top w:val="single" w:sz="34" w:space="0" w:color="FFFFFF"/>
            </w:tcBorders>
          </w:tcPr>
          <w:p>
            <w:pPr>
              <w:pStyle w:val="TableParagraph"/>
              <w:spacing w:line="259" w:lineRule="auto"/>
              <w:ind w:right="311"/>
              <w:jc w:val="both"/>
              <w:rPr>
                <w:sz w:val="18"/>
              </w:rPr>
            </w:pPr>
            <w:r>
              <w:rPr>
                <w:color w:val="1A1A2D"/>
                <w:sz w:val="18"/>
              </w:rPr>
              <w:t>Política de contraseñas robusta; MFA para sistemas críticos; cifrado en tránsito (TLS 1.2+)</w:t>
            </w:r>
            <w:r>
              <w:rPr>
                <w:color w:val="1A1A2D"/>
                <w:spacing w:val="-2"/>
                <w:sz w:val="18"/>
              </w:rPr>
              <w:t> </w:t>
            </w:r>
            <w:r>
              <w:rPr>
                <w:color w:val="1A1A2D"/>
                <w:sz w:val="18"/>
              </w:rPr>
              <w:t>y</w:t>
            </w:r>
            <w:r>
              <w:rPr>
                <w:color w:val="1A1A2D"/>
                <w:spacing w:val="-2"/>
                <w:sz w:val="18"/>
              </w:rPr>
              <w:t> </w:t>
            </w:r>
            <w:r>
              <w:rPr>
                <w:color w:val="1A1A2D"/>
                <w:sz w:val="18"/>
              </w:rPr>
              <w:t>en</w:t>
            </w:r>
            <w:r>
              <w:rPr>
                <w:color w:val="1A1A2D"/>
                <w:spacing w:val="-2"/>
                <w:sz w:val="18"/>
              </w:rPr>
              <w:t> </w:t>
            </w:r>
            <w:r>
              <w:rPr>
                <w:color w:val="1A1A2D"/>
                <w:sz w:val="18"/>
              </w:rPr>
              <w:t>reposo;</w:t>
            </w:r>
            <w:r>
              <w:rPr>
                <w:color w:val="1A1A2D"/>
                <w:spacing w:val="-2"/>
                <w:sz w:val="18"/>
              </w:rPr>
              <w:t> </w:t>
            </w:r>
            <w:r>
              <w:rPr>
                <w:color w:val="1A1A2D"/>
                <w:sz w:val="18"/>
              </w:rPr>
              <w:t>firewall</w:t>
            </w:r>
            <w:r>
              <w:rPr>
                <w:color w:val="1A1A2D"/>
                <w:spacing w:val="-3"/>
                <w:sz w:val="18"/>
              </w:rPr>
              <w:t> </w:t>
            </w:r>
            <w:r>
              <w:rPr>
                <w:color w:val="1A1A2D"/>
                <w:sz w:val="18"/>
              </w:rPr>
              <w:t>y</w:t>
            </w:r>
            <w:r>
              <w:rPr>
                <w:color w:val="1A1A2D"/>
                <w:spacing w:val="-1"/>
                <w:sz w:val="18"/>
              </w:rPr>
              <w:t> </w:t>
            </w:r>
            <w:r>
              <w:rPr>
                <w:color w:val="1A1A2D"/>
                <w:sz w:val="18"/>
              </w:rPr>
              <w:t>antivirus;</w:t>
            </w:r>
            <w:r>
              <w:rPr>
                <w:color w:val="1A1A2D"/>
                <w:spacing w:val="-2"/>
                <w:sz w:val="18"/>
              </w:rPr>
              <w:t> </w:t>
            </w:r>
            <w:r>
              <w:rPr>
                <w:color w:val="1A1A2D"/>
                <w:sz w:val="18"/>
              </w:rPr>
              <w:t>ENS</w:t>
            </w:r>
            <w:r>
              <w:rPr>
                <w:color w:val="1A1A2D"/>
                <w:spacing w:val="-3"/>
                <w:sz w:val="18"/>
              </w:rPr>
              <w:t> </w:t>
            </w:r>
            <w:r>
              <w:rPr>
                <w:color w:val="1A1A2D"/>
                <w:sz w:val="18"/>
              </w:rPr>
              <w:t>RD</w:t>
            </w:r>
            <w:r>
              <w:rPr>
                <w:color w:val="1A1A2D"/>
                <w:spacing w:val="-3"/>
                <w:sz w:val="18"/>
              </w:rPr>
              <w:t> </w:t>
            </w:r>
            <w:r>
              <w:rPr>
                <w:color w:val="1A1A2D"/>
                <w:sz w:val="18"/>
              </w:rPr>
              <w:t>311/2022</w:t>
            </w:r>
            <w:r>
              <w:rPr>
                <w:color w:val="1A1A2D"/>
                <w:spacing w:val="-1"/>
                <w:sz w:val="18"/>
              </w:rPr>
              <w:t> </w:t>
            </w:r>
            <w:r>
              <w:rPr>
                <w:color w:val="1A1A2D"/>
                <w:sz w:val="18"/>
              </w:rPr>
              <w:t>nivel</w:t>
            </w:r>
            <w:r>
              <w:rPr>
                <w:color w:val="1A1A2D"/>
                <w:spacing w:val="-3"/>
                <w:sz w:val="18"/>
              </w:rPr>
              <w:t> </w:t>
            </w:r>
            <w:r>
              <w:rPr>
                <w:color w:val="1A1A2D"/>
                <w:sz w:val="18"/>
              </w:rPr>
              <w:t>medio;</w:t>
            </w:r>
            <w:r>
              <w:rPr>
                <w:color w:val="1A1A2D"/>
                <w:spacing w:val="-1"/>
                <w:sz w:val="18"/>
              </w:rPr>
              <w:t> </w:t>
            </w:r>
            <w:r>
              <w:rPr>
                <w:color w:val="1A1A2D"/>
                <w:sz w:val="18"/>
              </w:rPr>
              <w:t>política</w:t>
            </w:r>
            <w:r>
              <w:rPr>
                <w:color w:val="1A1A2D"/>
                <w:spacing w:val="-3"/>
                <w:sz w:val="18"/>
              </w:rPr>
              <w:t> </w:t>
            </w:r>
            <w:r>
              <w:rPr>
                <w:color w:val="1A1A2D"/>
                <w:sz w:val="18"/>
              </w:rPr>
              <w:t>de</w:t>
            </w:r>
            <w:r>
              <w:rPr>
                <w:color w:val="1A1A2D"/>
                <w:spacing w:val="-2"/>
                <w:sz w:val="18"/>
              </w:rPr>
              <w:t> </w:t>
            </w:r>
            <w:r>
              <w:rPr>
                <w:color w:val="1A1A2D"/>
                <w:sz w:val="18"/>
              </w:rPr>
              <w:t>uso aceptable firmada por el</w:t>
            </w:r>
            <w:r>
              <w:rPr>
                <w:color w:val="1A1A2D"/>
                <w:spacing w:val="-2"/>
                <w:sz w:val="18"/>
              </w:rPr>
              <w:t> </w:t>
            </w:r>
            <w:r>
              <w:rPr>
                <w:color w:val="1A1A2D"/>
                <w:sz w:val="18"/>
              </w:rPr>
              <w:t>personal.</w:t>
            </w:r>
          </w:p>
        </w:tc>
      </w:tr>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Encargados del tratamiento</w:t>
            </w:r>
          </w:p>
        </w:tc>
        <w:tc>
          <w:tcPr>
            <w:tcW w:w="6560" w:type="dxa"/>
            <w:shd w:val="clear" w:color="auto" w:fill="F4F6F8"/>
          </w:tcPr>
          <w:p>
            <w:pPr>
              <w:pStyle w:val="TableParagraph"/>
              <w:spacing w:line="254" w:lineRule="auto" w:before="81"/>
              <w:rPr>
                <w:sz w:val="18"/>
              </w:rPr>
            </w:pPr>
            <w:r>
              <w:rPr>
                <w:color w:val="1A1A2D"/>
                <w:sz w:val="18"/>
              </w:rPr>
              <w:t>Proveedor de alojamiento web y mantenimiento de sistemas informáticos (encargada con contrato art. 28 RGPD).</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Nivel de riesgo / EIPD</w:t>
            </w:r>
          </w:p>
        </w:tc>
        <w:tc>
          <w:tcPr>
            <w:tcW w:w="6560" w:type="dxa"/>
            <w:shd w:val="clear" w:color="auto" w:fill="FFF9CD"/>
          </w:tcPr>
          <w:p>
            <w:pPr>
              <w:pStyle w:val="TableParagraph"/>
              <w:spacing w:before="77"/>
              <w:rPr>
                <w:sz w:val="18"/>
              </w:rPr>
            </w:pPr>
            <w:r>
              <w:rPr>
                <w:color w:val="1A1A2D"/>
                <w:sz w:val="18"/>
              </w:rPr>
              <w:t>MEDIO – Infraestructura que da soporte a tratamientos de alto riesgo.</w:t>
            </w:r>
          </w:p>
        </w:tc>
      </w:tr>
    </w:tbl>
    <w:p>
      <w:pPr>
        <w:spacing w:line="240" w:lineRule="auto" w:before="0"/>
        <w:rPr>
          <w:sz w:val="20"/>
        </w:rPr>
      </w:pPr>
    </w:p>
    <w:p>
      <w:pPr>
        <w:spacing w:line="240" w:lineRule="auto" w:before="1"/>
        <w:rPr>
          <w:sz w:val="18"/>
        </w:rPr>
      </w:pPr>
      <w:r>
        <w:rPr/>
        <w:pict>
          <v:shape style="position:absolute;margin-left:55.200001pt;margin-top:12.268969pt;width:513.25pt;height:14.55pt;mso-position-horizontal-relative:page;mso-position-vertical-relative:paragraph;z-index:-251608064;mso-wrap-distance-left:0;mso-wrap-distance-right:0" type="#_x0000_t202" filled="true" fillcolor="#f4f6f8" stroked="false">
            <v:textbox inset="0,0,0,0">
              <w:txbxContent>
                <w:p>
                  <w:pPr>
                    <w:pStyle w:val="BodyText"/>
                    <w:ind w:left="28"/>
                  </w:pPr>
                  <w:r>
                    <w:rPr>
                      <w:color w:val="C45E09"/>
                    </w:rPr>
                    <w:t>C-06 – Videovigilancia</w:t>
                  </w:r>
                </w:p>
              </w:txbxContent>
            </v:textbox>
            <v:fill type="solid"/>
            <w10:wrap type="topAndBottom"/>
          </v:shape>
        </w:pict>
      </w:r>
    </w:p>
    <w:p>
      <w:pPr>
        <w:spacing w:line="240" w:lineRule="auto" w:before="3" w:after="0"/>
        <w:rPr>
          <w:sz w:val="5"/>
        </w:rPr>
      </w:pPr>
    </w:p>
    <w:tbl>
      <w:tblPr>
        <w:tblW w:w="0" w:type="auto"/>
        <w:jc w:val="left"/>
        <w:tblInd w:w="79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474" w:hRule="atLeast"/>
        </w:trPr>
        <w:tc>
          <w:tcPr>
            <w:tcW w:w="2802" w:type="dxa"/>
            <w:shd w:val="clear" w:color="auto" w:fill="C7DCEF"/>
          </w:tcPr>
          <w:p>
            <w:pPr>
              <w:pStyle w:val="TableParagraph"/>
              <w:spacing w:before="11"/>
              <w:ind w:left="132"/>
              <w:rPr>
                <w:b/>
                <w:sz w:val="16"/>
              </w:rPr>
            </w:pPr>
            <w:r>
              <w:rPr>
                <w:b/>
                <w:color w:val="1A3556"/>
                <w:sz w:val="16"/>
              </w:rPr>
              <w:t>Código</w:t>
            </w:r>
          </w:p>
        </w:tc>
        <w:tc>
          <w:tcPr>
            <w:tcW w:w="6560" w:type="dxa"/>
            <w:tcBorders>
              <w:top w:val="single" w:sz="34" w:space="0" w:color="FFFFFF"/>
            </w:tcBorders>
          </w:tcPr>
          <w:p>
            <w:pPr>
              <w:pStyle w:val="TableParagraph"/>
              <w:spacing w:line="217" w:lineRule="exact"/>
              <w:rPr>
                <w:sz w:val="18"/>
              </w:rPr>
            </w:pPr>
            <w:r>
              <w:rPr>
                <w:color w:val="1A1A2D"/>
                <w:sz w:val="18"/>
              </w:rPr>
              <w:t>C-05</w:t>
            </w:r>
          </w:p>
        </w:tc>
      </w:tr>
      <w:tr>
        <w:trPr>
          <w:trHeight w:val="553" w:hRule="atLeast"/>
        </w:trPr>
        <w:tc>
          <w:tcPr>
            <w:tcW w:w="2802" w:type="dxa"/>
            <w:shd w:val="clear" w:color="auto" w:fill="C7DCEF"/>
          </w:tcPr>
          <w:p>
            <w:pPr>
              <w:pStyle w:val="TableParagraph"/>
              <w:spacing w:before="91"/>
              <w:ind w:left="132"/>
              <w:rPr>
                <w:b/>
                <w:sz w:val="16"/>
              </w:rPr>
            </w:pPr>
            <w:r>
              <w:rPr>
                <w:b/>
                <w:color w:val="1A3556"/>
                <w:sz w:val="16"/>
              </w:rPr>
              <w:t>Nombre del tratamiento</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Videovigilancia</w:t>
            </w:r>
          </w:p>
        </w:tc>
      </w:tr>
      <w:tr>
        <w:trPr>
          <w:trHeight w:val="474" w:hRule="atLeast"/>
        </w:trPr>
        <w:tc>
          <w:tcPr>
            <w:tcW w:w="2802" w:type="dxa"/>
            <w:shd w:val="clear" w:color="auto" w:fill="C7DCEF"/>
          </w:tcPr>
          <w:p>
            <w:pPr>
              <w:pStyle w:val="TableParagraph"/>
              <w:spacing w:before="11"/>
              <w:ind w:left="132"/>
              <w:rPr>
                <w:b/>
                <w:sz w:val="16"/>
              </w:rPr>
            </w:pPr>
            <w:r>
              <w:rPr>
                <w:b/>
                <w:color w:val="1A3556"/>
                <w:sz w:val="16"/>
              </w:rPr>
              <w:t>Rol de FUCAS</w:t>
            </w:r>
          </w:p>
        </w:tc>
        <w:tc>
          <w:tcPr>
            <w:tcW w:w="6560" w:type="dxa"/>
            <w:tcBorders>
              <w:top w:val="single" w:sz="34" w:space="0" w:color="FFFFFF"/>
            </w:tcBorders>
          </w:tcPr>
          <w:p>
            <w:pPr>
              <w:pStyle w:val="TableParagraph"/>
              <w:spacing w:line="217" w:lineRule="exact"/>
              <w:rPr>
                <w:sz w:val="18"/>
              </w:rPr>
            </w:pPr>
            <w:r>
              <w:rPr>
                <w:color w:val="1A1A2D"/>
                <w:sz w:val="18"/>
              </w:rPr>
              <w:t>RESPONSABLE</w:t>
            </w:r>
          </w:p>
        </w:tc>
      </w:tr>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Finalidad del tratamiento</w:t>
            </w:r>
          </w:p>
        </w:tc>
        <w:tc>
          <w:tcPr>
            <w:tcW w:w="6560" w:type="dxa"/>
            <w:shd w:val="clear" w:color="auto" w:fill="F4F6F8"/>
          </w:tcPr>
          <w:p>
            <w:pPr>
              <w:pStyle w:val="TableParagraph"/>
              <w:spacing w:line="256" w:lineRule="auto" w:before="79"/>
              <w:ind w:right="222"/>
              <w:rPr>
                <w:sz w:val="18"/>
              </w:rPr>
            </w:pPr>
            <w:r>
              <w:rPr>
                <w:color w:val="1A1A2D"/>
                <w:sz w:val="18"/>
              </w:rPr>
              <w:t>Preservar la seguridad de las personas, bienes e instalaciones, mediante la captación y conservación de imágenes a través de un sistema de cámaras de videovigilancia.</w:t>
            </w:r>
          </w:p>
        </w:tc>
      </w:tr>
      <w:tr>
        <w:trPr>
          <w:trHeight w:val="1027" w:hRule="atLeast"/>
        </w:trPr>
        <w:tc>
          <w:tcPr>
            <w:tcW w:w="2802" w:type="dxa"/>
            <w:shd w:val="clear" w:color="auto" w:fill="C7DCEF"/>
          </w:tcPr>
          <w:p>
            <w:pPr>
              <w:pStyle w:val="TableParagraph"/>
              <w:ind w:left="0"/>
              <w:rPr>
                <w:sz w:val="16"/>
              </w:rPr>
            </w:pPr>
          </w:p>
          <w:p>
            <w:pPr>
              <w:pStyle w:val="TableParagraph"/>
              <w:spacing w:before="131"/>
              <w:ind w:left="132"/>
              <w:rPr>
                <w:b/>
                <w:sz w:val="16"/>
              </w:rPr>
            </w:pPr>
            <w:r>
              <w:rPr>
                <w:b/>
                <w:color w:val="1A3556"/>
                <w:sz w:val="16"/>
              </w:rPr>
              <w:t>Base jurídica</w:t>
            </w:r>
          </w:p>
        </w:tc>
        <w:tc>
          <w:tcPr>
            <w:tcW w:w="6560" w:type="dxa"/>
          </w:tcPr>
          <w:p>
            <w:pPr>
              <w:pStyle w:val="TableParagraph"/>
              <w:spacing w:line="259" w:lineRule="auto" w:before="79"/>
              <w:rPr>
                <w:sz w:val="18"/>
              </w:rPr>
            </w:pPr>
            <w:r>
              <w:rPr>
                <w:color w:val="1A1A2D"/>
                <w:sz w:val="18"/>
              </w:rPr>
              <w:t>Art. 6.1.e) y 6.1.f) RGPD – Interés público e interés legítimo del responsable del tratamiento. Arts. 22 y 89 LOPDGDD (videovigilancia de seguridad y videovigilancia laboral); art. 20.3 ET (facultad de control empresarial); Instrucción 1/2006 AEPD.</w:t>
            </w:r>
          </w:p>
        </w:tc>
      </w:tr>
      <w:tr>
        <w:trPr>
          <w:trHeight w:val="791" w:hRule="atLeast"/>
        </w:trPr>
        <w:tc>
          <w:tcPr>
            <w:tcW w:w="2802" w:type="dxa"/>
            <w:shd w:val="clear" w:color="auto" w:fill="C7DCEF"/>
          </w:tcPr>
          <w:p>
            <w:pPr>
              <w:pStyle w:val="TableParagraph"/>
              <w:spacing w:before="4"/>
              <w:ind w:left="0"/>
              <w:rPr>
                <w:sz w:val="17"/>
              </w:rPr>
            </w:pPr>
          </w:p>
          <w:p>
            <w:pPr>
              <w:pStyle w:val="TableParagraph"/>
              <w:ind w:left="132"/>
              <w:rPr>
                <w:b/>
                <w:sz w:val="16"/>
              </w:rPr>
            </w:pPr>
            <w:r>
              <w:rPr>
                <w:b/>
                <w:color w:val="1A3556"/>
                <w:sz w:val="16"/>
              </w:rPr>
              <w:t>Categorías de datos personales</w:t>
            </w:r>
          </w:p>
        </w:tc>
        <w:tc>
          <w:tcPr>
            <w:tcW w:w="6560" w:type="dxa"/>
            <w:tcBorders>
              <w:bottom w:val="single" w:sz="34" w:space="0" w:color="FFFFFF"/>
            </w:tcBorders>
            <w:shd w:val="clear" w:color="auto" w:fill="F4F6F8"/>
          </w:tcPr>
          <w:p>
            <w:pPr>
              <w:pStyle w:val="TableParagraph"/>
              <w:spacing w:line="254" w:lineRule="auto" w:before="82"/>
              <w:ind w:right="593"/>
              <w:rPr>
                <w:sz w:val="18"/>
              </w:rPr>
            </w:pPr>
            <w:r>
              <w:rPr>
                <w:color w:val="1A1A2D"/>
                <w:sz w:val="18"/>
              </w:rPr>
              <w:t>Imágenes captadas mediante sistema de cámaras de personas que acceden a la oficina (personal de FUCAS y, en su caso, terceros).</w:t>
            </w:r>
          </w:p>
        </w:tc>
      </w:tr>
      <w:tr>
        <w:trPr>
          <w:trHeight w:val="712" w:hRule="atLeast"/>
        </w:trPr>
        <w:tc>
          <w:tcPr>
            <w:tcW w:w="2802" w:type="dxa"/>
            <w:shd w:val="clear" w:color="auto" w:fill="C7DCEF"/>
          </w:tcPr>
          <w:p>
            <w:pPr>
              <w:pStyle w:val="TableParagraph"/>
              <w:spacing w:before="129"/>
              <w:ind w:left="132"/>
              <w:rPr>
                <w:b/>
                <w:sz w:val="16"/>
              </w:rPr>
            </w:pPr>
            <w:r>
              <w:rPr>
                <w:b/>
                <w:color w:val="1A3556"/>
                <w:sz w:val="16"/>
              </w:rPr>
              <w:t>Colectivos de interesados</w:t>
            </w:r>
          </w:p>
        </w:tc>
        <w:tc>
          <w:tcPr>
            <w:tcW w:w="6560" w:type="dxa"/>
            <w:tcBorders>
              <w:top w:val="single" w:sz="34" w:space="0" w:color="FFFFFF"/>
            </w:tcBorders>
          </w:tcPr>
          <w:p>
            <w:pPr>
              <w:pStyle w:val="TableParagraph"/>
              <w:spacing w:line="256" w:lineRule="auto"/>
              <w:ind w:right="593"/>
              <w:rPr>
                <w:sz w:val="18"/>
              </w:rPr>
            </w:pPr>
            <w:r>
              <w:rPr>
                <w:color w:val="1A1A2D"/>
                <w:sz w:val="18"/>
              </w:rPr>
              <w:t>Imágenes captadas mediante sistema de cámaras de personas que acceden a la oficina (personal de FUCAS y, en su caso, terceros).</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6"/>
        <w:rPr>
          <w:sz w:val="16"/>
        </w:rPr>
      </w:pPr>
    </w:p>
    <w:p>
      <w:pPr>
        <w:spacing w:before="56"/>
        <w:ind w:left="906" w:right="261" w:firstLine="0"/>
        <w:jc w:val="center"/>
        <w:rPr>
          <w:sz w:val="22"/>
        </w:rPr>
      </w:pPr>
      <w:r>
        <w:rPr>
          <w:color w:val="4471C4"/>
          <w:sz w:val="22"/>
        </w:rPr>
        <w:t>25</w:t>
      </w:r>
    </w:p>
    <w:p>
      <w:pPr>
        <w:spacing w:after="0"/>
        <w:jc w:val="center"/>
        <w:rPr>
          <w:sz w:val="22"/>
        </w:rPr>
        <w:sectPr>
          <w:pgSz w:w="11910" w:h="16840"/>
          <w:pgMar w:top="1580" w:bottom="280" w:left="340" w:right="420"/>
        </w:sectPr>
      </w:pPr>
    </w:p>
    <w:p>
      <w:pPr>
        <w:spacing w:line="240" w:lineRule="auto" w:before="0"/>
        <w:rPr>
          <w:sz w:val="20"/>
        </w:rPr>
      </w:pPr>
      <w:r>
        <w:rPr/>
        <w:drawing>
          <wp:anchor distT="0" distB="0" distL="0" distR="0" allowOverlap="1" layoutInCell="1" locked="0" behindDoc="1" simplePos="0" relativeHeight="248544256">
            <wp:simplePos x="0" y="0"/>
            <wp:positionH relativeFrom="page">
              <wp:posOffset>0</wp:posOffset>
            </wp:positionH>
            <wp:positionV relativeFrom="page">
              <wp:posOffset>467771</wp:posOffset>
            </wp:positionV>
            <wp:extent cx="7110428" cy="9724101"/>
            <wp:effectExtent l="0" t="0" r="0" b="0"/>
            <wp:wrapNone/>
            <wp:docPr id="17" name="image1.png"/>
            <wp:cNvGraphicFramePr>
              <a:graphicFrameLocks noChangeAspect="1"/>
            </wp:cNvGraphicFramePr>
            <a:graphic>
              <a:graphicData uri="http://schemas.openxmlformats.org/drawingml/2006/picture">
                <pic:pic>
                  <pic:nvPicPr>
                    <pic:cNvPr id="18" name="image1.png"/>
                    <pic:cNvPicPr/>
                  </pic:nvPicPr>
                  <pic:blipFill>
                    <a:blip r:embed="rId5" cstate="print"/>
                    <a:stretch>
                      <a:fillRect/>
                    </a:stretch>
                  </pic:blipFill>
                  <pic:spPr>
                    <a:xfrm>
                      <a:off x="0" y="0"/>
                      <a:ext cx="7110428" cy="9724101"/>
                    </a:xfrm>
                    <a:prstGeom prst="rect">
                      <a:avLst/>
                    </a:prstGeom>
                  </pic:spPr>
                </pic:pic>
              </a:graphicData>
            </a:graphic>
          </wp:anchor>
        </w:drawing>
      </w:r>
    </w:p>
    <w:p>
      <w:pPr>
        <w:spacing w:line="240" w:lineRule="auto" w:before="0"/>
        <w:rPr>
          <w:sz w:val="20"/>
        </w:rPr>
      </w:pPr>
    </w:p>
    <w:p>
      <w:pPr>
        <w:spacing w:line="240" w:lineRule="auto" w:before="10" w:after="1"/>
        <w:rPr>
          <w:sz w:val="14"/>
        </w:rPr>
      </w:pPr>
    </w:p>
    <w:tbl>
      <w:tblPr>
        <w:tblW w:w="0" w:type="auto"/>
        <w:jc w:val="left"/>
        <w:tblInd w:w="79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1028" w:hRule="atLeast"/>
        </w:trPr>
        <w:tc>
          <w:tcPr>
            <w:tcW w:w="2802" w:type="dxa"/>
            <w:shd w:val="clear" w:color="auto" w:fill="C7DCEF"/>
          </w:tcPr>
          <w:p>
            <w:pPr>
              <w:pStyle w:val="TableParagraph"/>
              <w:ind w:left="0"/>
              <w:rPr>
                <w:sz w:val="16"/>
              </w:rPr>
            </w:pPr>
          </w:p>
          <w:p>
            <w:pPr>
              <w:pStyle w:val="TableParagraph"/>
              <w:spacing w:before="131"/>
              <w:ind w:left="132"/>
              <w:rPr>
                <w:b/>
                <w:sz w:val="16"/>
              </w:rPr>
            </w:pPr>
            <w:r>
              <w:rPr>
                <w:b/>
                <w:color w:val="1A3556"/>
                <w:sz w:val="16"/>
              </w:rPr>
              <w:t>Destinatarios / Cesionarios</w:t>
            </w:r>
          </w:p>
        </w:tc>
        <w:tc>
          <w:tcPr>
            <w:tcW w:w="6560" w:type="dxa"/>
            <w:tcBorders>
              <w:bottom w:val="single" w:sz="34" w:space="0" w:color="FFFFFF"/>
            </w:tcBorders>
            <w:shd w:val="clear" w:color="auto" w:fill="F4F6F8"/>
          </w:tcPr>
          <w:p>
            <w:pPr>
              <w:pStyle w:val="TableParagraph"/>
              <w:spacing w:line="259" w:lineRule="auto" w:before="79"/>
              <w:ind w:right="189"/>
              <w:rPr>
                <w:sz w:val="18"/>
              </w:rPr>
            </w:pPr>
            <w:r>
              <w:rPr>
                <w:color w:val="1A1A2D"/>
                <w:sz w:val="18"/>
              </w:rPr>
              <w:t>Dirección y RRHH de FUCAS (acceso autorizado a las grabaciones); Fuerzas y Cuerpos de Seguridad del Estado y autoridad judicial, exclusivamente en caso de incidencia que afecte a la integridad de personas, bienes o instalaciones.</w:t>
            </w:r>
          </w:p>
        </w:tc>
      </w:tr>
      <w:tr>
        <w:trPr>
          <w:trHeight w:val="1185" w:hRule="atLeast"/>
        </w:trPr>
        <w:tc>
          <w:tcPr>
            <w:tcW w:w="2802" w:type="dxa"/>
            <w:shd w:val="clear" w:color="auto" w:fill="C7DCEF"/>
          </w:tcPr>
          <w:p>
            <w:pPr>
              <w:pStyle w:val="TableParagraph"/>
              <w:ind w:left="0"/>
              <w:rPr>
                <w:sz w:val="16"/>
              </w:rPr>
            </w:pPr>
          </w:p>
          <w:p>
            <w:pPr>
              <w:pStyle w:val="TableParagraph"/>
              <w:spacing w:before="10"/>
              <w:ind w:left="0"/>
              <w:rPr>
                <w:sz w:val="13"/>
              </w:rPr>
            </w:pPr>
          </w:p>
          <w:p>
            <w:pPr>
              <w:pStyle w:val="TableParagraph"/>
              <w:ind w:left="132"/>
              <w:rPr>
                <w:b/>
                <w:sz w:val="16"/>
              </w:rPr>
            </w:pPr>
            <w:r>
              <w:rPr>
                <w:b/>
                <w:color w:val="1A3556"/>
                <w:sz w:val="16"/>
              </w:rPr>
              <w:t>Plazo de conservación</w:t>
            </w:r>
          </w:p>
        </w:tc>
        <w:tc>
          <w:tcPr>
            <w:tcW w:w="6560" w:type="dxa"/>
            <w:tcBorders>
              <w:top w:val="single" w:sz="34" w:space="0" w:color="FFFFFF"/>
            </w:tcBorders>
          </w:tcPr>
          <w:p>
            <w:pPr>
              <w:pStyle w:val="TableParagraph"/>
              <w:spacing w:line="256" w:lineRule="auto"/>
              <w:ind w:right="164"/>
              <w:rPr>
                <w:sz w:val="18"/>
              </w:rPr>
            </w:pPr>
            <w:r>
              <w:rPr>
                <w:color w:val="1A1A2D"/>
                <w:sz w:val="18"/>
              </w:rPr>
              <w:t>Máximo un mes desde la captación (art. 22.3 LOPDGDD), salvo que las imágenes deban conservarse para acreditar la comisión de actos que atenten contra la integridad de personas, bienes o instalaciones, en cuyo caso se pondrán a disposición de la autoridad competente en el plazo máximo de 72 horas.</w:t>
            </w:r>
          </w:p>
        </w:tc>
      </w:tr>
      <w:tr>
        <w:trPr>
          <w:trHeight w:val="553" w:hRule="atLeast"/>
        </w:trPr>
        <w:tc>
          <w:tcPr>
            <w:tcW w:w="2802" w:type="dxa"/>
            <w:shd w:val="clear" w:color="auto" w:fill="C7DCEF"/>
          </w:tcPr>
          <w:p>
            <w:pPr>
              <w:pStyle w:val="TableParagraph"/>
              <w:spacing w:before="91"/>
              <w:ind w:left="132"/>
              <w:rPr>
                <w:b/>
                <w:sz w:val="16"/>
              </w:rPr>
            </w:pPr>
            <w:r>
              <w:rPr>
                <w:b/>
                <w:color w:val="1A3556"/>
                <w:sz w:val="16"/>
              </w:rPr>
              <w:t>Transferencias internacionales</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No se realizan transferencias internacionales de datos personales.</w:t>
            </w:r>
          </w:p>
        </w:tc>
      </w:tr>
      <w:tr>
        <w:trPr>
          <w:trHeight w:val="712" w:hRule="atLeast"/>
        </w:trPr>
        <w:tc>
          <w:tcPr>
            <w:tcW w:w="2802" w:type="dxa"/>
            <w:shd w:val="clear" w:color="auto" w:fill="C7DCEF"/>
          </w:tcPr>
          <w:p>
            <w:pPr>
              <w:pStyle w:val="TableParagraph"/>
              <w:spacing w:line="256" w:lineRule="auto" w:before="26"/>
              <w:ind w:left="132" w:right="267"/>
              <w:rPr>
                <w:b/>
                <w:sz w:val="16"/>
              </w:rPr>
            </w:pPr>
            <w:r>
              <w:rPr>
                <w:b/>
                <w:color w:val="1A3556"/>
                <w:sz w:val="16"/>
              </w:rPr>
              <w:t>Medidas técnicas y organizativas de seguridad</w:t>
            </w:r>
          </w:p>
        </w:tc>
        <w:tc>
          <w:tcPr>
            <w:tcW w:w="6560" w:type="dxa"/>
            <w:tcBorders>
              <w:top w:val="single" w:sz="34" w:space="0" w:color="FFFFFF"/>
            </w:tcBorders>
          </w:tcPr>
          <w:p>
            <w:pPr>
              <w:pStyle w:val="TableParagraph"/>
              <w:spacing w:line="256" w:lineRule="auto"/>
              <w:ind w:right="235"/>
              <w:rPr>
                <w:sz w:val="18"/>
              </w:rPr>
            </w:pPr>
            <w:r>
              <w:rPr>
                <w:color w:val="1A1A2D"/>
                <w:sz w:val="18"/>
              </w:rPr>
              <w:t>Empresa instaladora/mantenedora del sistema de videovigilancia, en su caso, mediante contrato de encargo de tratamiento conforme al art. 28 RGPD.</w:t>
            </w:r>
          </w:p>
        </w:tc>
      </w:tr>
      <w:tr>
        <w:trPr>
          <w:trHeight w:val="789"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Encargados del tratamiento</w:t>
            </w:r>
          </w:p>
        </w:tc>
        <w:tc>
          <w:tcPr>
            <w:tcW w:w="6560" w:type="dxa"/>
            <w:shd w:val="clear" w:color="auto" w:fill="F4F6F8"/>
          </w:tcPr>
          <w:p>
            <w:pPr>
              <w:pStyle w:val="TableParagraph"/>
              <w:spacing w:line="256" w:lineRule="auto" w:before="79"/>
              <w:rPr>
                <w:sz w:val="18"/>
              </w:rPr>
            </w:pPr>
            <w:r>
              <w:rPr>
                <w:color w:val="1A1A2D"/>
                <w:sz w:val="18"/>
              </w:rPr>
              <w:t>Proveedor de alojamiento web y mantenimiento de sistemas informáticos (encargada con contrato art. 28 RGPD).</w:t>
            </w:r>
          </w:p>
        </w:tc>
      </w:tr>
      <w:tr>
        <w:trPr>
          <w:trHeight w:val="1029" w:hRule="atLeast"/>
        </w:trPr>
        <w:tc>
          <w:tcPr>
            <w:tcW w:w="2802" w:type="dxa"/>
            <w:shd w:val="clear" w:color="auto" w:fill="C7DCEF"/>
          </w:tcPr>
          <w:p>
            <w:pPr>
              <w:pStyle w:val="TableParagraph"/>
              <w:ind w:left="0"/>
              <w:rPr>
                <w:sz w:val="16"/>
              </w:rPr>
            </w:pPr>
          </w:p>
          <w:p>
            <w:pPr>
              <w:pStyle w:val="TableParagraph"/>
              <w:spacing w:before="133"/>
              <w:ind w:left="132"/>
              <w:rPr>
                <w:b/>
                <w:sz w:val="16"/>
              </w:rPr>
            </w:pPr>
            <w:r>
              <w:rPr>
                <w:b/>
                <w:color w:val="1A3556"/>
                <w:sz w:val="16"/>
              </w:rPr>
              <w:t>Nivel de riesgo / EIPD</w:t>
            </w:r>
          </w:p>
        </w:tc>
        <w:tc>
          <w:tcPr>
            <w:tcW w:w="6560" w:type="dxa"/>
            <w:shd w:val="clear" w:color="auto" w:fill="FFF9CD"/>
          </w:tcPr>
          <w:p>
            <w:pPr>
              <w:pStyle w:val="TableParagraph"/>
              <w:spacing w:line="256" w:lineRule="auto" w:before="81"/>
              <w:rPr>
                <w:sz w:val="18"/>
              </w:rPr>
            </w:pPr>
            <w:r>
              <w:rPr>
                <w:color w:val="1A1A2D"/>
                <w:sz w:val="18"/>
              </w:rPr>
              <w:t>MEDIO – Vigilancia sistemática de personal en su puesto de trabajo; no resulta preceptiva una EIPD completa, sin perjuicio de documentar la valoración de riesgos conforme al art. 35 RGPD.</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
        <w:rPr>
          <w:sz w:val="17"/>
        </w:rPr>
      </w:pPr>
    </w:p>
    <w:p>
      <w:pPr>
        <w:spacing w:before="57"/>
        <w:ind w:left="906" w:right="261" w:firstLine="0"/>
        <w:jc w:val="center"/>
        <w:rPr>
          <w:sz w:val="22"/>
        </w:rPr>
      </w:pPr>
      <w:r>
        <w:rPr>
          <w:color w:val="4471C4"/>
          <w:sz w:val="22"/>
        </w:rPr>
        <w:t>26</w:t>
      </w:r>
    </w:p>
    <w:p>
      <w:pPr>
        <w:spacing w:after="0"/>
        <w:jc w:val="center"/>
        <w:rPr>
          <w:sz w:val="22"/>
        </w:rPr>
        <w:sectPr>
          <w:pgSz w:w="11910" w:h="16840"/>
          <w:pgMar w:top="1580" w:bottom="280" w:left="340" w:right="420"/>
        </w:sectPr>
      </w:pPr>
    </w:p>
    <w:p>
      <w:pPr>
        <w:spacing w:line="240" w:lineRule="auto" w:before="0"/>
        <w:rPr>
          <w:sz w:val="20"/>
        </w:rPr>
      </w:pPr>
      <w:r>
        <w:rPr/>
        <w:pict>
          <v:group style="position:absolute;margin-left:.000009pt;margin-top:36.832428pt;width:568.450pt;height:765.7pt;mso-position-horizontal-relative:page;mso-position-vertical-relative:page;z-index:-254769152" coordorigin="0,737" coordsize="11369,15314">
            <v:shape style="position:absolute;left:0;top:736;width:11198;height:15314" type="#_x0000_t75" stroked="false">
              <v:imagedata r:id="rId5" o:title=""/>
            </v:shape>
            <v:shape style="position:absolute;left:1104;top:3209;width:10265;height:356" coordorigin="1104,3209" coordsize="10265,356" path="m11368,3545l1104,3545,1104,3564,11368,3564,11368,3545m11368,3209l1104,3209,1104,3228,11368,3228,11368,3209e" filled="true" fillcolor="#aaaaaa" stroked="false">
              <v:path arrowok="t"/>
              <v:fill type="solid"/>
            </v:shape>
            <v:line style="position:absolute" from="1085,4174" to="1085,4464" stroked="true" strokeweight="1.92pt" strokecolor="#494989">
              <v:stroke dashstyle="solid"/>
            </v:line>
            <w10:wrap type="none"/>
          </v:group>
        </w:pict>
      </w: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6" w:after="0"/>
        <w:rPr>
          <w:sz w:val="13"/>
        </w:rPr>
      </w:pPr>
    </w:p>
    <w:p>
      <w:pPr>
        <w:spacing w:line="240" w:lineRule="auto"/>
        <w:ind w:left="764" w:right="0" w:firstLine="0"/>
        <w:rPr>
          <w:sz w:val="20"/>
        </w:rPr>
      </w:pPr>
      <w:r>
        <w:rPr>
          <w:sz w:val="20"/>
        </w:rPr>
        <w:pict>
          <v:shape style="width:513.25pt;height:15.85pt;mso-position-horizontal-relative:char;mso-position-vertical-relative:line" type="#_x0000_t202" filled="true" fillcolor="#494989" stroked="false">
            <w10:anchorlock/>
            <v:textbox inset="0,0,0,0">
              <w:txbxContent>
                <w:p>
                  <w:pPr>
                    <w:spacing w:line="292" w:lineRule="exact" w:before="0"/>
                    <w:ind w:left="139" w:right="0" w:firstLine="0"/>
                    <w:jc w:val="left"/>
                    <w:rPr>
                      <w:b/>
                      <w:sz w:val="24"/>
                    </w:rPr>
                  </w:pPr>
                  <w:r>
                    <w:rPr>
                      <w:b/>
                      <w:color w:val="FFFFFF"/>
                      <w:sz w:val="24"/>
                    </w:rPr>
                    <w:t>BLOQUE D: ENCARGOS TÉCNICOS DE LA ADMINISTRACIÓN AUTONÓMICA</w:t>
                  </w:r>
                </w:p>
              </w:txbxContent>
            </v:textbox>
            <v:fill type="solid"/>
          </v:shape>
        </w:pict>
      </w:r>
      <w:r>
        <w:rPr>
          <w:sz w:val="20"/>
        </w:rPr>
      </w:r>
    </w:p>
    <w:p>
      <w:pPr>
        <w:spacing w:line="240" w:lineRule="auto" w:before="0"/>
        <w:rPr>
          <w:sz w:val="20"/>
        </w:rPr>
      </w:pPr>
    </w:p>
    <w:p>
      <w:pPr>
        <w:spacing w:line="240" w:lineRule="auto" w:before="2"/>
        <w:rPr>
          <w:sz w:val="27"/>
        </w:rPr>
      </w:pPr>
      <w:r>
        <w:rPr/>
        <w:pict>
          <v:shape style="position:absolute;margin-left:55.200001pt;margin-top:17.822969pt;width:513.25pt;height:14.55pt;mso-position-horizontal-relative:page;mso-position-vertical-relative:paragraph;z-index:-251603968;mso-wrap-distance-left:0;mso-wrap-distance-right:0" type="#_x0000_t202" filled="true" fillcolor="#f4f6f8" stroked="false">
            <v:textbox inset="0,0,0,0">
              <w:txbxContent>
                <w:p>
                  <w:pPr>
                    <w:pStyle w:val="BodyText"/>
                    <w:spacing w:line="268" w:lineRule="exact"/>
                    <w:ind w:left="129"/>
                  </w:pPr>
                  <w:r>
                    <w:rPr>
                      <w:color w:val="494989"/>
                    </w:rPr>
                    <w:t>D-01 – Tramitación de Títulos de Familia Numerosa</w:t>
                  </w:r>
                </w:p>
              </w:txbxContent>
            </v:textbox>
            <v:fill type="solid"/>
            <w10:wrap type="topAndBottom"/>
          </v:shape>
        </w:pict>
      </w:r>
    </w:p>
    <w:p>
      <w:pPr>
        <w:spacing w:line="240" w:lineRule="auto" w:before="3" w:after="0"/>
        <w:rPr>
          <w:sz w:val="5"/>
        </w:rPr>
      </w:pPr>
    </w:p>
    <w:tbl>
      <w:tblPr>
        <w:tblW w:w="0" w:type="auto"/>
        <w:jc w:val="left"/>
        <w:tblInd w:w="79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474" w:hRule="atLeast"/>
        </w:trPr>
        <w:tc>
          <w:tcPr>
            <w:tcW w:w="2802" w:type="dxa"/>
            <w:shd w:val="clear" w:color="auto" w:fill="C7DCEF"/>
          </w:tcPr>
          <w:p>
            <w:pPr>
              <w:pStyle w:val="TableParagraph"/>
              <w:spacing w:before="11"/>
              <w:ind w:left="132"/>
              <w:rPr>
                <w:b/>
                <w:sz w:val="16"/>
              </w:rPr>
            </w:pPr>
            <w:r>
              <w:rPr>
                <w:b/>
                <w:color w:val="1A3556"/>
                <w:sz w:val="16"/>
              </w:rPr>
              <w:t>Código</w:t>
            </w:r>
          </w:p>
        </w:tc>
        <w:tc>
          <w:tcPr>
            <w:tcW w:w="6560" w:type="dxa"/>
            <w:tcBorders>
              <w:top w:val="single" w:sz="34" w:space="0" w:color="FFFFFF"/>
            </w:tcBorders>
          </w:tcPr>
          <w:p>
            <w:pPr>
              <w:pStyle w:val="TableParagraph"/>
              <w:spacing w:line="217" w:lineRule="exact"/>
              <w:rPr>
                <w:sz w:val="18"/>
              </w:rPr>
            </w:pPr>
            <w:r>
              <w:rPr>
                <w:color w:val="1A1A2D"/>
                <w:sz w:val="18"/>
              </w:rPr>
              <w:t>D-01</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Nombre del tratamiento</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Tramitación de Títulos de Familia Numerosa</w:t>
            </w:r>
          </w:p>
        </w:tc>
      </w:tr>
      <w:tr>
        <w:trPr>
          <w:trHeight w:val="474" w:hRule="atLeast"/>
        </w:trPr>
        <w:tc>
          <w:tcPr>
            <w:tcW w:w="2802" w:type="dxa"/>
            <w:shd w:val="clear" w:color="auto" w:fill="C7DCEF"/>
          </w:tcPr>
          <w:p>
            <w:pPr>
              <w:pStyle w:val="TableParagraph"/>
              <w:spacing w:before="11"/>
              <w:ind w:left="132"/>
              <w:rPr>
                <w:b/>
                <w:sz w:val="16"/>
              </w:rPr>
            </w:pPr>
            <w:r>
              <w:rPr>
                <w:b/>
                <w:color w:val="1A3556"/>
                <w:sz w:val="16"/>
              </w:rPr>
              <w:t>Rol de FUCAS</w:t>
            </w:r>
          </w:p>
        </w:tc>
        <w:tc>
          <w:tcPr>
            <w:tcW w:w="6560" w:type="dxa"/>
            <w:tcBorders>
              <w:top w:val="single" w:sz="34" w:space="0" w:color="FFFFFF"/>
            </w:tcBorders>
          </w:tcPr>
          <w:p>
            <w:pPr>
              <w:pStyle w:val="TableParagraph"/>
              <w:spacing w:line="217" w:lineRule="exact"/>
              <w:rPr>
                <w:sz w:val="18"/>
              </w:rPr>
            </w:pPr>
            <w:r>
              <w:rPr>
                <w:color w:val="1A1A2D"/>
                <w:sz w:val="18"/>
              </w:rPr>
              <w:t>ENCARGADA (medio propio del Gobierno de Canarias)</w:t>
            </w:r>
          </w:p>
        </w:tc>
      </w:tr>
      <w:tr>
        <w:trPr>
          <w:trHeight w:val="1264" w:hRule="atLeast"/>
        </w:trPr>
        <w:tc>
          <w:tcPr>
            <w:tcW w:w="2802" w:type="dxa"/>
            <w:shd w:val="clear" w:color="auto" w:fill="C7DCEF"/>
          </w:tcPr>
          <w:p>
            <w:pPr>
              <w:pStyle w:val="TableParagraph"/>
              <w:ind w:left="0"/>
              <w:rPr>
                <w:sz w:val="16"/>
              </w:rPr>
            </w:pPr>
          </w:p>
          <w:p>
            <w:pPr>
              <w:pStyle w:val="TableParagraph"/>
              <w:spacing w:before="6"/>
              <w:ind w:left="0"/>
              <w:rPr>
                <w:sz w:val="20"/>
              </w:rPr>
            </w:pPr>
          </w:p>
          <w:p>
            <w:pPr>
              <w:pStyle w:val="TableParagraph"/>
              <w:spacing w:before="1"/>
              <w:ind w:left="132"/>
              <w:rPr>
                <w:b/>
                <w:sz w:val="16"/>
              </w:rPr>
            </w:pPr>
            <w:r>
              <w:rPr>
                <w:b/>
                <w:color w:val="1A3556"/>
                <w:sz w:val="16"/>
              </w:rPr>
              <w:t>Finalidad del tratamiento</w:t>
            </w:r>
          </w:p>
        </w:tc>
        <w:tc>
          <w:tcPr>
            <w:tcW w:w="6560" w:type="dxa"/>
            <w:tcBorders>
              <w:bottom w:val="single" w:sz="34" w:space="0" w:color="FFFFFF"/>
            </w:tcBorders>
            <w:shd w:val="clear" w:color="auto" w:fill="F4F6F8"/>
          </w:tcPr>
          <w:p>
            <w:pPr>
              <w:pStyle w:val="TableParagraph"/>
              <w:spacing w:line="259" w:lineRule="auto" w:before="79"/>
              <w:ind w:right="199"/>
              <w:rPr>
                <w:sz w:val="18"/>
              </w:rPr>
            </w:pPr>
            <w:r>
              <w:rPr>
                <w:color w:val="1A1A2D"/>
                <w:sz w:val="18"/>
              </w:rPr>
              <w:t>Funciones técnicas y de gestión en la tramitación, renovación, modificación y baja de los Títulos de Familia Numerosa para familias con vecindad civil en Canarias: comprobación documental, verificación de requisitos y apoyo administrativo a la Consejería competente.</w:t>
            </w:r>
          </w:p>
        </w:tc>
      </w:tr>
      <w:tr>
        <w:trPr>
          <w:trHeight w:val="1187" w:hRule="atLeast"/>
        </w:trPr>
        <w:tc>
          <w:tcPr>
            <w:tcW w:w="2802" w:type="dxa"/>
            <w:shd w:val="clear" w:color="auto" w:fill="C7DCEF"/>
          </w:tcPr>
          <w:p>
            <w:pPr>
              <w:pStyle w:val="TableParagraph"/>
              <w:ind w:left="0"/>
              <w:rPr>
                <w:sz w:val="16"/>
              </w:rPr>
            </w:pPr>
          </w:p>
          <w:p>
            <w:pPr>
              <w:pStyle w:val="TableParagraph"/>
              <w:ind w:left="0"/>
              <w:rPr>
                <w:sz w:val="14"/>
              </w:rPr>
            </w:pPr>
          </w:p>
          <w:p>
            <w:pPr>
              <w:pStyle w:val="TableParagraph"/>
              <w:ind w:left="132"/>
              <w:rPr>
                <w:b/>
                <w:sz w:val="16"/>
              </w:rPr>
            </w:pPr>
            <w:r>
              <w:rPr>
                <w:b/>
                <w:color w:val="1A3556"/>
                <w:sz w:val="16"/>
              </w:rPr>
              <w:t>Base jurídica</w:t>
            </w:r>
          </w:p>
        </w:tc>
        <w:tc>
          <w:tcPr>
            <w:tcW w:w="6560" w:type="dxa"/>
            <w:tcBorders>
              <w:top w:val="single" w:sz="34" w:space="0" w:color="FFFFFF"/>
            </w:tcBorders>
          </w:tcPr>
          <w:p>
            <w:pPr>
              <w:pStyle w:val="TableParagraph"/>
              <w:spacing w:line="256" w:lineRule="auto" w:before="2"/>
              <w:rPr>
                <w:sz w:val="18"/>
              </w:rPr>
            </w:pPr>
            <w:r>
              <w:rPr>
                <w:color w:val="1A1A2D"/>
                <w:sz w:val="18"/>
              </w:rPr>
              <w:t>Art. 6.1.c) RGPD – Obligación legal; art. 9.2.b) en lo que respecta a informes de discapacidad. Ley 40/2003, de 18 de noviembre, de Protección a las Familias Numerosas; normativa canaria de desarrollo; Orden de encargo de la Consejería de Derechos Sociales.</w:t>
            </w:r>
          </w:p>
        </w:tc>
      </w:tr>
      <w:tr>
        <w:trPr>
          <w:trHeight w:val="1502" w:hRule="atLeast"/>
        </w:trPr>
        <w:tc>
          <w:tcPr>
            <w:tcW w:w="2802" w:type="dxa"/>
            <w:shd w:val="clear" w:color="auto" w:fill="C7DCEF"/>
          </w:tcPr>
          <w:p>
            <w:pPr>
              <w:pStyle w:val="TableParagraph"/>
              <w:ind w:left="0"/>
              <w:rPr>
                <w:sz w:val="16"/>
              </w:rPr>
            </w:pPr>
          </w:p>
          <w:p>
            <w:pPr>
              <w:pStyle w:val="TableParagraph"/>
              <w:ind w:left="0"/>
              <w:rPr>
                <w:sz w:val="16"/>
              </w:rPr>
            </w:pPr>
          </w:p>
          <w:p>
            <w:pPr>
              <w:pStyle w:val="TableParagraph"/>
              <w:spacing w:before="2"/>
              <w:ind w:left="0"/>
              <w:rPr>
                <w:sz w:val="14"/>
              </w:rPr>
            </w:pPr>
          </w:p>
          <w:p>
            <w:pPr>
              <w:pStyle w:val="TableParagraph"/>
              <w:spacing w:before="1"/>
              <w:ind w:left="132"/>
              <w:rPr>
                <w:b/>
                <w:sz w:val="16"/>
              </w:rPr>
            </w:pPr>
            <w:r>
              <w:rPr>
                <w:b/>
                <w:color w:val="1A3556"/>
                <w:sz w:val="16"/>
              </w:rPr>
              <w:t>Categorías de datos personales</w:t>
            </w:r>
          </w:p>
        </w:tc>
        <w:tc>
          <w:tcPr>
            <w:tcW w:w="6560" w:type="dxa"/>
            <w:tcBorders>
              <w:bottom w:val="single" w:sz="34" w:space="0" w:color="FFFFFF"/>
            </w:tcBorders>
            <w:shd w:val="clear" w:color="auto" w:fill="F4F6F8"/>
          </w:tcPr>
          <w:p>
            <w:pPr>
              <w:pStyle w:val="TableParagraph"/>
              <w:spacing w:line="259" w:lineRule="auto" w:before="79"/>
              <w:rPr>
                <w:sz w:val="18"/>
              </w:rPr>
            </w:pPr>
            <w:r>
              <w:rPr>
                <w:color w:val="1A1A2D"/>
                <w:sz w:val="18"/>
              </w:rPr>
              <w:t>Datos identificativos de todos los miembros de la unidad familiar (nombre, apellidos, firma electrónica, DNI/NIE, dirección, teléfono, correo electrónico, libro de familia, certificado de empadronamiento, certificado de convivencia, permiso de residencia); datos académicos y profesionales (matrículas, formación, titulaciones); informes de discapacidad; datos fiscales.</w:t>
            </w:r>
          </w:p>
        </w:tc>
      </w:tr>
      <w:tr>
        <w:trPr>
          <w:trHeight w:val="712" w:hRule="atLeast"/>
        </w:trPr>
        <w:tc>
          <w:tcPr>
            <w:tcW w:w="2802" w:type="dxa"/>
            <w:shd w:val="clear" w:color="auto" w:fill="C7DCEF"/>
          </w:tcPr>
          <w:p>
            <w:pPr>
              <w:pStyle w:val="TableParagraph"/>
              <w:spacing w:before="129"/>
              <w:ind w:left="132"/>
              <w:rPr>
                <w:b/>
                <w:sz w:val="16"/>
              </w:rPr>
            </w:pPr>
            <w:r>
              <w:rPr>
                <w:b/>
                <w:color w:val="1A3556"/>
                <w:sz w:val="16"/>
              </w:rPr>
              <w:t>Colectivos de interesados</w:t>
            </w:r>
          </w:p>
        </w:tc>
        <w:tc>
          <w:tcPr>
            <w:tcW w:w="6560" w:type="dxa"/>
            <w:tcBorders>
              <w:top w:val="single" w:sz="34" w:space="0" w:color="FFFFFF"/>
            </w:tcBorders>
          </w:tcPr>
          <w:p>
            <w:pPr>
              <w:pStyle w:val="TableParagraph"/>
              <w:spacing w:line="256" w:lineRule="auto"/>
              <w:rPr>
                <w:sz w:val="18"/>
              </w:rPr>
            </w:pPr>
            <w:r>
              <w:rPr>
                <w:color w:val="1A1A2D"/>
                <w:sz w:val="18"/>
              </w:rPr>
              <w:t>Ciudadanos y residentes en la Comunidad Autónoma de Canarias que solicitan, renuevan o modifican el Título de Familia Numerosa.</w:t>
            </w:r>
          </w:p>
        </w:tc>
      </w:tr>
      <w:tr>
        <w:trPr>
          <w:trHeight w:val="789"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Destinatarios / Cesionarios</w:t>
            </w:r>
          </w:p>
        </w:tc>
        <w:tc>
          <w:tcPr>
            <w:tcW w:w="6560" w:type="dxa"/>
            <w:tcBorders>
              <w:bottom w:val="single" w:sz="34" w:space="0" w:color="FFFFFF"/>
            </w:tcBorders>
            <w:shd w:val="clear" w:color="auto" w:fill="F4F6F8"/>
          </w:tcPr>
          <w:p>
            <w:pPr>
              <w:pStyle w:val="TableParagraph"/>
              <w:spacing w:line="256" w:lineRule="auto" w:before="79"/>
              <w:rPr>
                <w:sz w:val="18"/>
              </w:rPr>
            </w:pPr>
            <w:r>
              <w:rPr>
                <w:color w:val="1A1A2D"/>
                <w:sz w:val="18"/>
              </w:rPr>
              <w:t>Administración Pública Autonómica y Local de la Comunidad Autónoma de Canarias (responsable del tratamiento); Juzgados (en procedimientos contenciosos).</w:t>
            </w:r>
          </w:p>
        </w:tc>
      </w:tr>
      <w:tr>
        <w:trPr>
          <w:trHeight w:val="474" w:hRule="atLeast"/>
        </w:trPr>
        <w:tc>
          <w:tcPr>
            <w:tcW w:w="2802" w:type="dxa"/>
            <w:shd w:val="clear" w:color="auto" w:fill="C7DCEF"/>
          </w:tcPr>
          <w:p>
            <w:pPr>
              <w:pStyle w:val="TableParagraph"/>
              <w:spacing w:before="11"/>
              <w:ind w:left="132"/>
              <w:rPr>
                <w:b/>
                <w:sz w:val="16"/>
              </w:rPr>
            </w:pPr>
            <w:r>
              <w:rPr>
                <w:b/>
                <w:color w:val="1A3556"/>
                <w:sz w:val="16"/>
              </w:rPr>
              <w:t>Plazo de conservación</w:t>
            </w:r>
          </w:p>
        </w:tc>
        <w:tc>
          <w:tcPr>
            <w:tcW w:w="6560" w:type="dxa"/>
            <w:tcBorders>
              <w:top w:val="single" w:sz="34" w:space="0" w:color="FFFFFF"/>
            </w:tcBorders>
          </w:tcPr>
          <w:p>
            <w:pPr>
              <w:pStyle w:val="TableParagraph"/>
              <w:spacing w:line="219" w:lineRule="exact"/>
              <w:rPr>
                <w:sz w:val="18"/>
              </w:rPr>
            </w:pPr>
            <w:r>
              <w:rPr>
                <w:color w:val="1A1A2D"/>
                <w:sz w:val="18"/>
              </w:rPr>
              <w:t>Mientras dure la vigencia del título y 5 años tras su extinción.</w:t>
            </w:r>
          </w:p>
        </w:tc>
      </w:tr>
      <w:tr>
        <w:trPr>
          <w:trHeight w:val="553" w:hRule="atLeast"/>
        </w:trPr>
        <w:tc>
          <w:tcPr>
            <w:tcW w:w="2802" w:type="dxa"/>
            <w:shd w:val="clear" w:color="auto" w:fill="C7DCEF"/>
          </w:tcPr>
          <w:p>
            <w:pPr>
              <w:pStyle w:val="TableParagraph"/>
              <w:spacing w:before="91"/>
              <w:ind w:left="132"/>
              <w:rPr>
                <w:b/>
                <w:sz w:val="16"/>
              </w:rPr>
            </w:pPr>
            <w:r>
              <w:rPr>
                <w:b/>
                <w:color w:val="1A3556"/>
                <w:sz w:val="16"/>
              </w:rPr>
              <w:t>Transferencias internacionales</w:t>
            </w:r>
          </w:p>
        </w:tc>
        <w:tc>
          <w:tcPr>
            <w:tcW w:w="6560" w:type="dxa"/>
            <w:tcBorders>
              <w:bottom w:val="single" w:sz="34" w:space="0" w:color="FFFFFF"/>
            </w:tcBorders>
            <w:shd w:val="clear" w:color="auto" w:fill="F4F6F8"/>
          </w:tcPr>
          <w:p>
            <w:pPr>
              <w:pStyle w:val="TableParagraph"/>
              <w:spacing w:before="79"/>
              <w:rPr>
                <w:sz w:val="18"/>
              </w:rPr>
            </w:pPr>
            <w:r>
              <w:rPr>
                <w:color w:val="1A1A2D"/>
                <w:sz w:val="18"/>
              </w:rPr>
              <w:t>No se realizan transferencias internacionales de datos personales.</w:t>
            </w:r>
          </w:p>
        </w:tc>
      </w:tr>
      <w:tr>
        <w:trPr>
          <w:trHeight w:val="950" w:hRule="atLeast"/>
        </w:trPr>
        <w:tc>
          <w:tcPr>
            <w:tcW w:w="2802" w:type="dxa"/>
            <w:shd w:val="clear" w:color="auto" w:fill="C7DCEF"/>
          </w:tcPr>
          <w:p>
            <w:pPr>
              <w:pStyle w:val="TableParagraph"/>
              <w:ind w:left="0"/>
              <w:rPr>
                <w:sz w:val="12"/>
              </w:rPr>
            </w:pPr>
          </w:p>
          <w:p>
            <w:pPr>
              <w:pStyle w:val="TableParagraph"/>
              <w:spacing w:line="256" w:lineRule="auto"/>
              <w:ind w:left="132" w:right="267"/>
              <w:rPr>
                <w:b/>
                <w:sz w:val="16"/>
              </w:rPr>
            </w:pPr>
            <w:r>
              <w:rPr>
                <w:b/>
                <w:color w:val="1A3556"/>
                <w:sz w:val="16"/>
              </w:rPr>
              <w:t>Medidas técnicas y organizativas de seguridad</w:t>
            </w:r>
          </w:p>
        </w:tc>
        <w:tc>
          <w:tcPr>
            <w:tcW w:w="6560" w:type="dxa"/>
            <w:tcBorders>
              <w:top w:val="single" w:sz="34" w:space="0" w:color="FFFFFF"/>
            </w:tcBorders>
          </w:tcPr>
          <w:p>
            <w:pPr>
              <w:pStyle w:val="TableParagraph"/>
              <w:spacing w:line="256" w:lineRule="auto" w:before="2"/>
              <w:ind w:right="132"/>
              <w:rPr>
                <w:sz w:val="18"/>
              </w:rPr>
            </w:pPr>
            <w:r>
              <w:rPr>
                <w:color w:val="1A1A2D"/>
                <w:sz w:val="18"/>
              </w:rPr>
              <w:t>Acceso restringido al personal técnico asignado al encargo; sistema de gestión documental Pléyone S.L.; cifrado de comunicaciones con la Consejería; medidas ENS RD 311/2022.</w:t>
            </w:r>
          </w:p>
        </w:tc>
      </w:tr>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Encargados del tratamiento</w:t>
            </w:r>
          </w:p>
        </w:tc>
        <w:tc>
          <w:tcPr>
            <w:tcW w:w="6560" w:type="dxa"/>
            <w:shd w:val="clear" w:color="auto" w:fill="F4F6F8"/>
          </w:tcPr>
          <w:p>
            <w:pPr>
              <w:pStyle w:val="TableParagraph"/>
              <w:spacing w:line="256" w:lineRule="auto" w:before="79"/>
              <w:ind w:right="145"/>
              <w:rPr>
                <w:sz w:val="18"/>
              </w:rPr>
            </w:pPr>
            <w:r>
              <w:rPr>
                <w:color w:val="1A1A2D"/>
                <w:sz w:val="18"/>
              </w:rPr>
              <w:t>Pléyone S.L. (plataforma de gestión de familia numerosa, sub-encargada con contrato art. 28 RGPD).</w:t>
            </w:r>
          </w:p>
        </w:tc>
      </w:tr>
    </w:tbl>
    <w:p>
      <w:pPr>
        <w:spacing w:line="240" w:lineRule="auto" w:before="0"/>
        <w:rPr>
          <w:sz w:val="20"/>
        </w:rPr>
      </w:pPr>
    </w:p>
    <w:p>
      <w:pPr>
        <w:spacing w:line="240" w:lineRule="auto" w:before="0"/>
        <w:rPr>
          <w:sz w:val="20"/>
        </w:rPr>
      </w:pPr>
    </w:p>
    <w:p>
      <w:pPr>
        <w:spacing w:line="240" w:lineRule="auto" w:before="2"/>
        <w:rPr>
          <w:sz w:val="19"/>
        </w:rPr>
      </w:pPr>
    </w:p>
    <w:p>
      <w:pPr>
        <w:spacing w:before="57"/>
        <w:ind w:left="906" w:right="261" w:firstLine="0"/>
        <w:jc w:val="center"/>
        <w:rPr>
          <w:sz w:val="22"/>
        </w:rPr>
      </w:pPr>
      <w:r>
        <w:rPr>
          <w:color w:val="4471C4"/>
          <w:sz w:val="22"/>
        </w:rPr>
        <w:t>27</w:t>
      </w:r>
    </w:p>
    <w:p>
      <w:pPr>
        <w:spacing w:after="0"/>
        <w:jc w:val="center"/>
        <w:rPr>
          <w:sz w:val="22"/>
        </w:rPr>
        <w:sectPr>
          <w:pgSz w:w="11910" w:h="16840"/>
          <w:pgMar w:top="1580" w:bottom="280" w:left="340" w:right="420"/>
        </w:sectPr>
      </w:pPr>
    </w:p>
    <w:p>
      <w:pPr>
        <w:spacing w:line="240" w:lineRule="auto" w:before="0"/>
        <w:rPr>
          <w:sz w:val="20"/>
        </w:rPr>
      </w:pPr>
      <w:r>
        <w:rPr/>
        <w:pict>
          <v:group style="position:absolute;margin-left:.000009pt;margin-top:36.832428pt;width:559.9pt;height:765.7pt;mso-position-horizontal-relative:page;mso-position-vertical-relative:page;z-index:-254767104" coordorigin="0,737" coordsize="11198,15314">
            <v:shape style="position:absolute;left:0;top:736;width:11198;height:15314" type="#_x0000_t75" stroked="false">
              <v:imagedata r:id="rId5" o:title=""/>
            </v:shape>
            <v:line style="position:absolute" from="1085,4006" to="1085,4296" stroked="true" strokeweight="1.92pt" strokecolor="#494989">
              <v:stroke dashstyle="solid"/>
            </v:line>
            <w10:wrap type="none"/>
          </v:group>
        </w:pict>
      </w:r>
    </w:p>
    <w:p>
      <w:pPr>
        <w:spacing w:line="240" w:lineRule="auto" w:before="0"/>
        <w:rPr>
          <w:sz w:val="20"/>
        </w:rPr>
      </w:pPr>
    </w:p>
    <w:p>
      <w:pPr>
        <w:spacing w:line="240" w:lineRule="auto" w:before="10" w:after="1"/>
        <w:rPr>
          <w:sz w:val="14"/>
        </w:rPr>
      </w:pPr>
    </w:p>
    <w:tbl>
      <w:tblPr>
        <w:tblW w:w="0" w:type="auto"/>
        <w:jc w:val="left"/>
        <w:tblInd w:w="79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Nivel de riesgo / EIPD</w:t>
            </w:r>
          </w:p>
        </w:tc>
        <w:tc>
          <w:tcPr>
            <w:tcW w:w="6560" w:type="dxa"/>
            <w:shd w:val="clear" w:color="auto" w:fill="FFF9CD"/>
          </w:tcPr>
          <w:p>
            <w:pPr>
              <w:pStyle w:val="TableParagraph"/>
              <w:spacing w:line="256" w:lineRule="auto" w:before="79"/>
              <w:ind w:right="567"/>
              <w:rPr>
                <w:sz w:val="18"/>
              </w:rPr>
            </w:pPr>
            <w:r>
              <w:rPr>
                <w:color w:val="1A1A2D"/>
                <w:sz w:val="18"/>
              </w:rPr>
              <w:t>MEDIO-ALTO – Datos de toda la unidad familiar; eventual presencia de datos de discapacidad.</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1"/>
        <w:rPr>
          <w:sz w:val="14"/>
        </w:rPr>
      </w:pPr>
      <w:r>
        <w:rPr/>
        <w:pict>
          <v:shape style="position:absolute;margin-left:55.200001pt;margin-top:10.298906pt;width:513.25pt;height:14.55pt;mso-position-horizontal-relative:page;mso-position-vertical-relative:paragraph;z-index:-251601920;mso-wrap-distance-left:0;mso-wrap-distance-right:0" type="#_x0000_t202" filled="true" fillcolor="#f4f6f8" stroked="false">
            <v:textbox inset="0,0,0,0">
              <w:txbxContent>
                <w:p>
                  <w:pPr>
                    <w:pStyle w:val="BodyText"/>
                    <w:spacing w:line="268" w:lineRule="exact"/>
                    <w:ind w:left="129"/>
                  </w:pPr>
                  <w:r>
                    <w:rPr>
                      <w:color w:val="494989"/>
                    </w:rPr>
                    <w:t>D-03 – Valoración del grado de discapacidad (nuevo encargo 2025)</w:t>
                  </w:r>
                </w:p>
              </w:txbxContent>
            </v:textbox>
            <v:fill type="solid"/>
            <w10:wrap type="topAndBottom"/>
          </v:shape>
        </w:pict>
      </w:r>
    </w:p>
    <w:p>
      <w:pPr>
        <w:spacing w:line="240" w:lineRule="auto" w:before="3" w:after="0"/>
        <w:rPr>
          <w:sz w:val="5"/>
        </w:rPr>
      </w:pPr>
    </w:p>
    <w:tbl>
      <w:tblPr>
        <w:tblW w:w="0" w:type="auto"/>
        <w:jc w:val="left"/>
        <w:tblInd w:w="79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554" w:hRule="atLeast"/>
        </w:trPr>
        <w:tc>
          <w:tcPr>
            <w:tcW w:w="2802" w:type="dxa"/>
            <w:shd w:val="clear" w:color="auto" w:fill="C7DCEF"/>
          </w:tcPr>
          <w:p>
            <w:pPr>
              <w:pStyle w:val="TableParagraph"/>
              <w:spacing w:before="91"/>
              <w:ind w:left="132"/>
              <w:rPr>
                <w:b/>
                <w:sz w:val="16"/>
              </w:rPr>
            </w:pPr>
            <w:r>
              <w:rPr>
                <w:b/>
                <w:color w:val="1A3556"/>
                <w:sz w:val="16"/>
              </w:rPr>
              <w:t>Código</w:t>
            </w:r>
          </w:p>
        </w:tc>
        <w:tc>
          <w:tcPr>
            <w:tcW w:w="6560" w:type="dxa"/>
          </w:tcPr>
          <w:p>
            <w:pPr>
              <w:pStyle w:val="TableParagraph"/>
              <w:spacing w:before="77"/>
              <w:rPr>
                <w:sz w:val="18"/>
              </w:rPr>
            </w:pPr>
            <w:r>
              <w:rPr>
                <w:color w:val="1A1A2D"/>
                <w:sz w:val="18"/>
              </w:rPr>
              <w:t>D-03</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Nombre del tratamiento</w:t>
            </w:r>
          </w:p>
        </w:tc>
        <w:tc>
          <w:tcPr>
            <w:tcW w:w="6560" w:type="dxa"/>
            <w:shd w:val="clear" w:color="auto" w:fill="F4F6F8"/>
          </w:tcPr>
          <w:p>
            <w:pPr>
              <w:pStyle w:val="TableParagraph"/>
              <w:spacing w:before="77"/>
              <w:rPr>
                <w:sz w:val="18"/>
              </w:rPr>
            </w:pPr>
            <w:r>
              <w:rPr>
                <w:color w:val="1A1A2D"/>
                <w:sz w:val="18"/>
              </w:rPr>
              <w:t>Valoración del grado de discapacidad (nuevo encargo 2025)</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Rol de FUCAS</w:t>
            </w:r>
          </w:p>
        </w:tc>
        <w:tc>
          <w:tcPr>
            <w:tcW w:w="6560" w:type="dxa"/>
          </w:tcPr>
          <w:p>
            <w:pPr>
              <w:pStyle w:val="TableParagraph"/>
              <w:spacing w:before="77"/>
              <w:rPr>
                <w:sz w:val="18"/>
              </w:rPr>
            </w:pPr>
            <w:r>
              <w:rPr>
                <w:color w:val="1A1A2D"/>
                <w:sz w:val="18"/>
              </w:rPr>
              <w:t>ENCARGADA (medio propio del Gobierno de Canarias)</w:t>
            </w:r>
          </w:p>
        </w:tc>
      </w:tr>
      <w:tr>
        <w:trPr>
          <w:trHeight w:val="1264" w:hRule="atLeast"/>
        </w:trPr>
        <w:tc>
          <w:tcPr>
            <w:tcW w:w="2802" w:type="dxa"/>
            <w:shd w:val="clear" w:color="auto" w:fill="C7DCEF"/>
          </w:tcPr>
          <w:p>
            <w:pPr>
              <w:pStyle w:val="TableParagraph"/>
              <w:ind w:left="0"/>
              <w:rPr>
                <w:sz w:val="16"/>
              </w:rPr>
            </w:pPr>
          </w:p>
          <w:p>
            <w:pPr>
              <w:pStyle w:val="TableParagraph"/>
              <w:spacing w:before="6"/>
              <w:ind w:left="0"/>
              <w:rPr>
                <w:sz w:val="20"/>
              </w:rPr>
            </w:pPr>
          </w:p>
          <w:p>
            <w:pPr>
              <w:pStyle w:val="TableParagraph"/>
              <w:spacing w:before="1"/>
              <w:ind w:left="132"/>
              <w:rPr>
                <w:b/>
                <w:sz w:val="16"/>
              </w:rPr>
            </w:pPr>
            <w:r>
              <w:rPr>
                <w:b/>
                <w:color w:val="1A3556"/>
                <w:sz w:val="16"/>
              </w:rPr>
              <w:t>Finalidad del tratamiento</w:t>
            </w:r>
          </w:p>
        </w:tc>
        <w:tc>
          <w:tcPr>
            <w:tcW w:w="6560" w:type="dxa"/>
            <w:tcBorders>
              <w:bottom w:val="single" w:sz="34" w:space="0" w:color="FFFFFF"/>
            </w:tcBorders>
            <w:shd w:val="clear" w:color="auto" w:fill="F4F6F8"/>
          </w:tcPr>
          <w:p>
            <w:pPr>
              <w:pStyle w:val="TableParagraph"/>
              <w:spacing w:line="259" w:lineRule="auto" w:before="79"/>
              <w:ind w:right="155"/>
              <w:rPr>
                <w:sz w:val="18"/>
              </w:rPr>
            </w:pPr>
            <w:r>
              <w:rPr>
                <w:color w:val="1A1A2D"/>
                <w:sz w:val="18"/>
              </w:rPr>
              <w:t>Realización de funciones técnicas de valoración del grado de discapacidad de personas solicitantes en Canarias: evaluación médica, psicológica y social conforme al RD 888/2022, elaboración de informes de valoración y propuesta de resolución, contribuyendo a la reducción de listas de espera.</w:t>
            </w:r>
          </w:p>
        </w:tc>
      </w:tr>
      <w:tr>
        <w:trPr>
          <w:trHeight w:val="1187" w:hRule="atLeast"/>
        </w:trPr>
        <w:tc>
          <w:tcPr>
            <w:tcW w:w="2802" w:type="dxa"/>
            <w:shd w:val="clear" w:color="auto" w:fill="C7DCEF"/>
          </w:tcPr>
          <w:p>
            <w:pPr>
              <w:pStyle w:val="TableParagraph"/>
              <w:ind w:left="0"/>
              <w:rPr>
                <w:sz w:val="16"/>
              </w:rPr>
            </w:pPr>
          </w:p>
          <w:p>
            <w:pPr>
              <w:pStyle w:val="TableParagraph"/>
              <w:ind w:left="0"/>
              <w:rPr>
                <w:sz w:val="14"/>
              </w:rPr>
            </w:pPr>
          </w:p>
          <w:p>
            <w:pPr>
              <w:pStyle w:val="TableParagraph"/>
              <w:ind w:left="132"/>
              <w:rPr>
                <w:b/>
                <w:sz w:val="16"/>
              </w:rPr>
            </w:pPr>
            <w:r>
              <w:rPr>
                <w:b/>
                <w:color w:val="1A3556"/>
                <w:sz w:val="16"/>
              </w:rPr>
              <w:t>Base jurídica</w:t>
            </w:r>
          </w:p>
        </w:tc>
        <w:tc>
          <w:tcPr>
            <w:tcW w:w="6560" w:type="dxa"/>
            <w:tcBorders>
              <w:top w:val="single" w:sz="34" w:space="0" w:color="FFFFFF"/>
            </w:tcBorders>
          </w:tcPr>
          <w:p>
            <w:pPr>
              <w:pStyle w:val="TableParagraph"/>
              <w:spacing w:line="256" w:lineRule="auto" w:before="2"/>
              <w:ind w:right="283"/>
              <w:rPr>
                <w:sz w:val="18"/>
              </w:rPr>
            </w:pPr>
            <w:r>
              <w:rPr>
                <w:color w:val="1A1A2D"/>
                <w:sz w:val="18"/>
              </w:rPr>
              <w:t>Art. 6.1.c) RGPD – Obligación legal; art. 9.2.b) y h) RGPD. Real Decreto 888/2022, de 18 de octubre, por el que se establece el procedimiento para el reconocimiento, declaración y calificación del grado de discapacidad; encargo de la Consejería de Bienestar Social. [ADICIÓN v2.1: nuevo encargo no incluido en RAT 2022]</w:t>
            </w:r>
          </w:p>
        </w:tc>
      </w:tr>
      <w:tr>
        <w:trPr>
          <w:trHeight w:val="1026" w:hRule="atLeast"/>
        </w:trPr>
        <w:tc>
          <w:tcPr>
            <w:tcW w:w="2802" w:type="dxa"/>
            <w:shd w:val="clear" w:color="auto" w:fill="C7DCEF"/>
          </w:tcPr>
          <w:p>
            <w:pPr>
              <w:pStyle w:val="TableParagraph"/>
              <w:ind w:left="0"/>
              <w:rPr>
                <w:sz w:val="16"/>
              </w:rPr>
            </w:pPr>
          </w:p>
          <w:p>
            <w:pPr>
              <w:pStyle w:val="TableParagraph"/>
              <w:spacing w:before="131"/>
              <w:ind w:left="132"/>
              <w:rPr>
                <w:b/>
                <w:sz w:val="16"/>
              </w:rPr>
            </w:pPr>
            <w:r>
              <w:rPr>
                <w:b/>
                <w:color w:val="1A3556"/>
                <w:sz w:val="16"/>
              </w:rPr>
              <w:t>Categorías de datos personales</w:t>
            </w:r>
          </w:p>
        </w:tc>
        <w:tc>
          <w:tcPr>
            <w:tcW w:w="6560" w:type="dxa"/>
            <w:tcBorders>
              <w:bottom w:val="single" w:sz="34" w:space="0" w:color="FFFFFF"/>
            </w:tcBorders>
            <w:shd w:val="clear" w:color="auto" w:fill="F4F6F8"/>
          </w:tcPr>
          <w:p>
            <w:pPr>
              <w:pStyle w:val="TableParagraph"/>
              <w:spacing w:line="259" w:lineRule="auto" w:before="79"/>
              <w:rPr>
                <w:sz w:val="18"/>
              </w:rPr>
            </w:pPr>
            <w:r>
              <w:rPr>
                <w:color w:val="1A1A2D"/>
                <w:sz w:val="18"/>
              </w:rPr>
              <w:t>CATEGORÍAS ESPECIALES: Datos de salud (diagnósticos médicos, informes de especialistas, historial clínico, pruebas diagnósticas); datos relativos a discapacidad. Datos ordinarios: identificativos y de contacto; situación laboral y social.</w:t>
            </w:r>
          </w:p>
        </w:tc>
      </w:tr>
      <w:tr>
        <w:trPr>
          <w:trHeight w:val="474" w:hRule="atLeast"/>
        </w:trPr>
        <w:tc>
          <w:tcPr>
            <w:tcW w:w="2802" w:type="dxa"/>
            <w:shd w:val="clear" w:color="auto" w:fill="C7DCEF"/>
          </w:tcPr>
          <w:p>
            <w:pPr>
              <w:pStyle w:val="TableParagraph"/>
              <w:spacing w:before="11"/>
              <w:ind w:left="132"/>
              <w:rPr>
                <w:b/>
                <w:sz w:val="16"/>
              </w:rPr>
            </w:pPr>
            <w:r>
              <w:rPr>
                <w:b/>
                <w:color w:val="1A3556"/>
                <w:sz w:val="16"/>
              </w:rPr>
              <w:t>Colectivos de interesados</w:t>
            </w:r>
          </w:p>
        </w:tc>
        <w:tc>
          <w:tcPr>
            <w:tcW w:w="6560" w:type="dxa"/>
            <w:tcBorders>
              <w:top w:val="single" w:sz="34" w:space="0" w:color="FFFFFF"/>
            </w:tcBorders>
          </w:tcPr>
          <w:p>
            <w:pPr>
              <w:pStyle w:val="TableParagraph"/>
              <w:spacing w:line="219" w:lineRule="exact"/>
              <w:rPr>
                <w:sz w:val="18"/>
              </w:rPr>
            </w:pPr>
            <w:r>
              <w:rPr>
                <w:color w:val="1A1A2D"/>
                <w:sz w:val="18"/>
              </w:rPr>
              <w:t>Personas solicitantes del reconocimiento del grado de discapacidad en Canarias.</w:t>
            </w:r>
          </w:p>
        </w:tc>
      </w:tr>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Destinatarios / Cesionarios</w:t>
            </w:r>
          </w:p>
        </w:tc>
        <w:tc>
          <w:tcPr>
            <w:tcW w:w="6560" w:type="dxa"/>
            <w:tcBorders>
              <w:bottom w:val="single" w:sz="34" w:space="0" w:color="FFFFFF"/>
            </w:tcBorders>
            <w:shd w:val="clear" w:color="auto" w:fill="F4F6F8"/>
          </w:tcPr>
          <w:p>
            <w:pPr>
              <w:pStyle w:val="TableParagraph"/>
              <w:spacing w:line="254" w:lineRule="auto" w:before="81"/>
              <w:ind w:right="975"/>
              <w:rPr>
                <w:sz w:val="18"/>
              </w:rPr>
            </w:pPr>
            <w:r>
              <w:rPr>
                <w:color w:val="1A1A2D"/>
                <w:sz w:val="18"/>
              </w:rPr>
              <w:t>Consejería de Bienestar Social (responsable del tratamiento, emisora de la resolución); IMSERSO (sistema de información sobre discapacidad).</w:t>
            </w:r>
          </w:p>
        </w:tc>
      </w:tr>
      <w:tr>
        <w:trPr>
          <w:trHeight w:val="474" w:hRule="atLeast"/>
        </w:trPr>
        <w:tc>
          <w:tcPr>
            <w:tcW w:w="2802" w:type="dxa"/>
            <w:shd w:val="clear" w:color="auto" w:fill="C7DCEF"/>
          </w:tcPr>
          <w:p>
            <w:pPr>
              <w:pStyle w:val="TableParagraph"/>
              <w:spacing w:before="11"/>
              <w:ind w:left="132"/>
              <w:rPr>
                <w:b/>
                <w:sz w:val="16"/>
              </w:rPr>
            </w:pPr>
            <w:r>
              <w:rPr>
                <w:b/>
                <w:color w:val="1A3556"/>
                <w:sz w:val="16"/>
              </w:rPr>
              <w:t>Plazo de conservación</w:t>
            </w:r>
          </w:p>
        </w:tc>
        <w:tc>
          <w:tcPr>
            <w:tcW w:w="6560" w:type="dxa"/>
            <w:tcBorders>
              <w:top w:val="single" w:sz="34" w:space="0" w:color="FFFFFF"/>
            </w:tcBorders>
          </w:tcPr>
          <w:p>
            <w:pPr>
              <w:pStyle w:val="TableParagraph"/>
              <w:spacing w:line="217" w:lineRule="exact"/>
              <w:rPr>
                <w:sz w:val="18"/>
              </w:rPr>
            </w:pPr>
            <w:r>
              <w:rPr>
                <w:color w:val="1A1A2D"/>
                <w:sz w:val="18"/>
              </w:rPr>
              <w:t>Expediente de valoración: 10 años. Datos de salud: 15 años.</w:t>
            </w:r>
          </w:p>
        </w:tc>
      </w:tr>
      <w:tr>
        <w:trPr>
          <w:trHeight w:val="553" w:hRule="atLeast"/>
        </w:trPr>
        <w:tc>
          <w:tcPr>
            <w:tcW w:w="2802" w:type="dxa"/>
            <w:shd w:val="clear" w:color="auto" w:fill="C7DCEF"/>
          </w:tcPr>
          <w:p>
            <w:pPr>
              <w:pStyle w:val="TableParagraph"/>
              <w:spacing w:before="91"/>
              <w:ind w:left="132"/>
              <w:rPr>
                <w:b/>
                <w:sz w:val="16"/>
              </w:rPr>
            </w:pPr>
            <w:r>
              <w:rPr>
                <w:b/>
                <w:color w:val="1A3556"/>
                <w:sz w:val="16"/>
              </w:rPr>
              <w:t>Transferencias internacionales</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No se realizan transferencias internacionales de datos personales.</w:t>
            </w:r>
          </w:p>
        </w:tc>
      </w:tr>
      <w:tr>
        <w:trPr>
          <w:trHeight w:val="950" w:hRule="atLeast"/>
        </w:trPr>
        <w:tc>
          <w:tcPr>
            <w:tcW w:w="2802" w:type="dxa"/>
            <w:shd w:val="clear" w:color="auto" w:fill="C7DCEF"/>
          </w:tcPr>
          <w:p>
            <w:pPr>
              <w:pStyle w:val="TableParagraph"/>
              <w:spacing w:before="11"/>
              <w:ind w:left="0"/>
              <w:rPr>
                <w:sz w:val="11"/>
              </w:rPr>
            </w:pPr>
          </w:p>
          <w:p>
            <w:pPr>
              <w:pStyle w:val="TableParagraph"/>
              <w:spacing w:line="256" w:lineRule="auto"/>
              <w:ind w:left="132" w:right="267"/>
              <w:rPr>
                <w:b/>
                <w:sz w:val="16"/>
              </w:rPr>
            </w:pPr>
            <w:r>
              <w:rPr>
                <w:b/>
                <w:color w:val="1A3556"/>
                <w:sz w:val="16"/>
              </w:rPr>
              <w:t>Medidas técnicas y organizativas de seguridad</w:t>
            </w:r>
          </w:p>
        </w:tc>
        <w:tc>
          <w:tcPr>
            <w:tcW w:w="6560" w:type="dxa"/>
            <w:tcBorders>
              <w:top w:val="single" w:sz="34" w:space="0" w:color="FFFFFF"/>
            </w:tcBorders>
          </w:tcPr>
          <w:p>
            <w:pPr>
              <w:pStyle w:val="TableParagraph"/>
              <w:spacing w:line="259" w:lineRule="auto"/>
              <w:ind w:right="788"/>
              <w:jc w:val="both"/>
              <w:rPr>
                <w:sz w:val="18"/>
              </w:rPr>
            </w:pPr>
            <w:r>
              <w:rPr>
                <w:color w:val="1A1A2D"/>
                <w:sz w:val="18"/>
              </w:rPr>
              <w:t>EIPD preceptiva; acceso restringido a equipos de valoración;</w:t>
            </w:r>
            <w:r>
              <w:rPr>
                <w:color w:val="1A1A2D"/>
                <w:spacing w:val="-27"/>
                <w:sz w:val="18"/>
              </w:rPr>
              <w:t> </w:t>
            </w:r>
            <w:r>
              <w:rPr>
                <w:color w:val="1A1A2D"/>
                <w:sz w:val="18"/>
              </w:rPr>
              <w:t>confidencialidad reforzada; cifrado de datos de salud; trazabilidad completa; medidas ENS RD 311/2022.</w:t>
            </w:r>
          </w:p>
        </w:tc>
      </w:tr>
      <w:tr>
        <w:trPr>
          <w:trHeight w:val="554" w:hRule="atLeast"/>
        </w:trPr>
        <w:tc>
          <w:tcPr>
            <w:tcW w:w="2802" w:type="dxa"/>
            <w:shd w:val="clear" w:color="auto" w:fill="C7DCEF"/>
          </w:tcPr>
          <w:p>
            <w:pPr>
              <w:pStyle w:val="TableParagraph"/>
              <w:spacing w:before="88"/>
              <w:ind w:left="132"/>
              <w:rPr>
                <w:b/>
                <w:sz w:val="16"/>
              </w:rPr>
            </w:pPr>
            <w:r>
              <w:rPr>
                <w:b/>
                <w:color w:val="1A3556"/>
                <w:sz w:val="16"/>
              </w:rPr>
              <w:t>Encargados del tratamiento</w:t>
            </w:r>
          </w:p>
        </w:tc>
        <w:tc>
          <w:tcPr>
            <w:tcW w:w="6560" w:type="dxa"/>
            <w:shd w:val="clear" w:color="auto" w:fill="F4F6F8"/>
          </w:tcPr>
          <w:p>
            <w:pPr>
              <w:pStyle w:val="TableParagraph"/>
              <w:spacing w:before="77"/>
              <w:rPr>
                <w:sz w:val="18"/>
              </w:rPr>
            </w:pPr>
            <w:r>
              <w:rPr>
                <w:color w:val="1A1A2D"/>
                <w:sz w:val="18"/>
              </w:rPr>
              <w:t>Herramienta informática de valoración de la discapacidad del Gobierno de Canarias.</w:t>
            </w:r>
          </w:p>
        </w:tc>
      </w:tr>
      <w:tr>
        <w:trPr>
          <w:trHeight w:val="789"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Nivel de riesgo / EIPD</w:t>
            </w:r>
          </w:p>
        </w:tc>
        <w:tc>
          <w:tcPr>
            <w:tcW w:w="6560" w:type="dxa"/>
            <w:shd w:val="clear" w:color="auto" w:fill="FFDFD5"/>
          </w:tcPr>
          <w:p>
            <w:pPr>
              <w:pStyle w:val="TableParagraph"/>
              <w:spacing w:line="256" w:lineRule="auto" w:before="79"/>
              <w:ind w:right="465"/>
              <w:rPr>
                <w:sz w:val="18"/>
              </w:rPr>
            </w:pPr>
            <w:r>
              <w:rPr>
                <w:color w:val="1A1A2D"/>
                <w:sz w:val="18"/>
              </w:rPr>
              <w:t>MUY ALTO – Datos de salud a gran escala con impacto en derechos económicos y sociales. Requiere EIPD.</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7"/>
        <w:rPr>
          <w:sz w:val="25"/>
        </w:rPr>
      </w:pPr>
    </w:p>
    <w:p>
      <w:pPr>
        <w:spacing w:before="56"/>
        <w:ind w:left="906" w:right="261" w:firstLine="0"/>
        <w:jc w:val="center"/>
        <w:rPr>
          <w:sz w:val="22"/>
        </w:rPr>
      </w:pPr>
      <w:r>
        <w:rPr>
          <w:color w:val="4471C4"/>
          <w:sz w:val="22"/>
        </w:rPr>
        <w:t>28</w:t>
      </w:r>
    </w:p>
    <w:p>
      <w:pPr>
        <w:spacing w:after="0"/>
        <w:jc w:val="center"/>
        <w:rPr>
          <w:sz w:val="22"/>
        </w:rPr>
        <w:sectPr>
          <w:pgSz w:w="11910" w:h="16840"/>
          <w:pgMar w:top="1580" w:bottom="280" w:left="340" w:right="420"/>
        </w:sectPr>
      </w:pPr>
    </w:p>
    <w:p>
      <w:pPr>
        <w:tabs>
          <w:tab w:pos="9129" w:val="left" w:leader="none"/>
        </w:tabs>
        <w:spacing w:line="240" w:lineRule="auto"/>
        <w:ind w:left="1351" w:right="0" w:firstLine="0"/>
        <w:rPr>
          <w:sz w:val="20"/>
        </w:rPr>
      </w:pPr>
      <w:r>
        <w:rPr>
          <w:sz w:val="20"/>
        </w:rPr>
        <w:pict>
          <v:group style="width:115.75pt;height:46.15pt;mso-position-horizontal-relative:char;mso-position-vertical-relative:line" coordorigin="0,0" coordsize="2315,923">
            <v:shape style="position:absolute;left:0;top:57;width:2269;height:865" type="#_x0000_t75" stroked="false">
              <v:imagedata r:id="rId10" o:title=""/>
            </v:shape>
            <v:line style="position:absolute" from="2307,730" to="2307,0" stroked="true" strokeweight=".721015pt" strokecolor="#000000">
              <v:stroke dashstyle="solid"/>
            </v:line>
          </v:group>
        </w:pict>
      </w:r>
      <w:r>
        <w:rPr>
          <w:sz w:val="20"/>
        </w:rPr>
      </w:r>
      <w:r>
        <w:rPr>
          <w:sz w:val="20"/>
        </w:rPr>
        <w:tab/>
      </w:r>
      <w:r>
        <w:rPr>
          <w:position w:val="2"/>
          <w:sz w:val="20"/>
        </w:rPr>
        <w:drawing>
          <wp:inline distT="0" distB="0" distL="0" distR="0">
            <wp:extent cx="310979" cy="585216"/>
            <wp:effectExtent l="0" t="0" r="0" b="0"/>
            <wp:docPr id="19" name="image3.jpeg"/>
            <wp:cNvGraphicFramePr>
              <a:graphicFrameLocks noChangeAspect="1"/>
            </wp:cNvGraphicFramePr>
            <a:graphic>
              <a:graphicData uri="http://schemas.openxmlformats.org/drawingml/2006/picture">
                <pic:pic>
                  <pic:nvPicPr>
                    <pic:cNvPr id="20" name="image3.jpeg"/>
                    <pic:cNvPicPr/>
                  </pic:nvPicPr>
                  <pic:blipFill>
                    <a:blip r:embed="rId11" cstate="print"/>
                    <a:stretch>
                      <a:fillRect/>
                    </a:stretch>
                  </pic:blipFill>
                  <pic:spPr>
                    <a:xfrm>
                      <a:off x="0" y="0"/>
                      <a:ext cx="310979" cy="585216"/>
                    </a:xfrm>
                    <a:prstGeom prst="rect">
                      <a:avLst/>
                    </a:prstGeom>
                  </pic:spPr>
                </pic:pic>
              </a:graphicData>
            </a:graphic>
          </wp:inline>
        </w:drawing>
      </w:r>
      <w:r>
        <w:rPr>
          <w:position w:val="2"/>
          <w:sz w:val="20"/>
        </w:rPr>
      </w:r>
    </w:p>
    <w:p>
      <w:pPr>
        <w:spacing w:after="0" w:line="240" w:lineRule="auto"/>
        <w:rPr>
          <w:sz w:val="20"/>
        </w:rPr>
        <w:sectPr>
          <w:pgSz w:w="11910" w:h="16840"/>
          <w:pgMar w:top="740" w:bottom="280" w:left="340" w:right="420"/>
        </w:sectPr>
      </w:pPr>
    </w:p>
    <w:p>
      <w:pPr>
        <w:spacing w:line="292" w:lineRule="auto" w:before="47"/>
        <w:ind w:left="1563" w:right="31" w:hanging="223"/>
        <w:jc w:val="left"/>
        <w:rPr>
          <w:rFonts w:ascii="Arial" w:hAnsi="Arial"/>
          <w:sz w:val="13"/>
        </w:rPr>
      </w:pPr>
      <w:r>
        <w:rPr>
          <w:rFonts w:ascii="Arial" w:hAnsi="Arial"/>
          <w:color w:val="3D363B"/>
          <w:w w:val="110"/>
          <w:sz w:val="13"/>
        </w:rPr>
        <w:t>FUNDACIÓN TUTELAR </w:t>
      </w:r>
      <w:r>
        <w:rPr>
          <w:rFonts w:ascii="Arial" w:hAnsi="Arial"/>
          <w:b/>
          <w:color w:val="3D363B"/>
          <w:w w:val="110"/>
          <w:sz w:val="13"/>
        </w:rPr>
        <w:t>CANARIA PARA </w:t>
      </w:r>
      <w:r>
        <w:rPr>
          <w:rFonts w:ascii="Arial" w:hAnsi="Arial"/>
          <w:color w:val="3D363B"/>
          <w:w w:val="110"/>
          <w:sz w:val="13"/>
        </w:rPr>
        <w:t>LA ACCIÓN SOCIAL</w:t>
      </w:r>
    </w:p>
    <w:p>
      <w:pPr>
        <w:pStyle w:val="Heading2"/>
        <w:spacing w:line="192" w:lineRule="auto"/>
        <w:ind w:firstLine="124"/>
        <w:jc w:val="left"/>
        <w:rPr>
          <w:rFonts w:ascii="Times New Roman"/>
        </w:rPr>
      </w:pPr>
      <w:r>
        <w:rPr>
          <w:b w:val="0"/>
        </w:rPr>
        <w:br w:type="column"/>
      </w:r>
      <w:r>
        <w:rPr>
          <w:rFonts w:ascii="Times New Roman"/>
          <w:color w:val="2A262D"/>
          <w:w w:val="105"/>
        </w:rPr>
        <w:t>Gobierno de Canarias</w:t>
      </w:r>
    </w:p>
    <w:p>
      <w:pPr>
        <w:spacing w:after="0" w:line="192" w:lineRule="auto"/>
        <w:jc w:val="left"/>
        <w:rPr>
          <w:rFonts w:ascii="Times New Roman"/>
        </w:rPr>
        <w:sectPr>
          <w:type w:val="continuous"/>
          <w:pgSz w:w="11910" w:h="16840"/>
          <w:pgMar w:top="1580" w:bottom="280" w:left="340" w:right="420"/>
          <w:cols w:num="2" w:equalWidth="0">
            <w:col w:w="3632" w:space="3704"/>
            <w:col w:w="3814"/>
          </w:cols>
        </w:sectPr>
      </w:pPr>
    </w:p>
    <w:p>
      <w:pPr>
        <w:pStyle w:val="BodyText"/>
        <w:spacing w:before="10"/>
        <w:rPr>
          <w:rFonts w:ascii="Times New Roman"/>
          <w:sz w:val="2"/>
        </w:rPr>
      </w:pPr>
    </w:p>
    <w:p>
      <w:pPr>
        <w:pStyle w:val="BodyText"/>
        <w:ind w:left="794"/>
        <w:rPr>
          <w:rFonts w:ascii="Times New Roman"/>
          <w:b w:val="0"/>
          <w:sz w:val="20"/>
        </w:rPr>
      </w:pPr>
      <w:r>
        <w:rPr>
          <w:rFonts w:ascii="Times New Roman"/>
          <w:b w:val="0"/>
          <w:sz w:val="20"/>
        </w:rPr>
        <w:pict>
          <v:group style="width:469.15pt;height:28.6pt;mso-position-horizontal-relative:char;mso-position-vertical-relative:line" coordorigin="0,0" coordsize="9383,572">
            <v:shape style="position:absolute;left:0;top:0;width:9383;height:572" type="#_x0000_t75" stroked="false">
              <v:imagedata r:id="rId14" o:title=""/>
            </v:shape>
            <v:shape style="position:absolute;left:130;top:112;width:808;height:180" type="#_x0000_t202" filled="false" stroked="false">
              <v:textbox inset="0,0,0,0">
                <w:txbxContent>
                  <w:p>
                    <w:pPr>
                      <w:spacing w:line="180" w:lineRule="exact" w:before="0"/>
                      <w:ind w:left="0" w:right="0" w:firstLine="0"/>
                      <w:jc w:val="left"/>
                      <w:rPr>
                        <w:b/>
                        <w:sz w:val="18"/>
                      </w:rPr>
                    </w:pPr>
                    <w:r>
                      <w:rPr>
                        <w:b/>
                        <w:color w:val="FFFFFF"/>
                        <w:sz w:val="18"/>
                      </w:rPr>
                      <w:t>Firma DPD</w:t>
                    </w:r>
                  </w:p>
                </w:txbxContent>
              </v:textbox>
              <w10:wrap type="none"/>
            </v:shape>
            <v:shape style="position:absolute;left:4811;top:112;width:1904;height:180" type="#_x0000_t202" filled="false" stroked="false">
              <v:textbox inset="0,0,0,0">
                <w:txbxContent>
                  <w:p>
                    <w:pPr>
                      <w:spacing w:line="180" w:lineRule="exact" w:before="0"/>
                      <w:ind w:left="0" w:right="0" w:firstLine="0"/>
                      <w:jc w:val="left"/>
                      <w:rPr>
                        <w:b/>
                        <w:sz w:val="18"/>
                      </w:rPr>
                    </w:pPr>
                    <w:r>
                      <w:rPr>
                        <w:b/>
                        <w:color w:val="FFFFFF"/>
                        <w:sz w:val="18"/>
                      </w:rPr>
                      <w:t>Firma Dirección-Gerencia</w:t>
                    </w:r>
                  </w:p>
                </w:txbxContent>
              </v:textbox>
              <w10:wrap type="none"/>
            </v:shape>
          </v:group>
        </w:pict>
      </w:r>
      <w:r>
        <w:rPr>
          <w:rFonts w:ascii="Times New Roman"/>
          <w:b w:val="0"/>
          <w:sz w:val="20"/>
        </w:rPr>
      </w:r>
    </w:p>
    <w:p>
      <w:pPr>
        <w:tabs>
          <w:tab w:pos="4722" w:val="left" w:leader="none"/>
          <w:tab w:pos="5605" w:val="left" w:leader="none"/>
          <w:tab w:pos="9403" w:val="left" w:leader="none"/>
        </w:tabs>
        <w:spacing w:before="54"/>
        <w:ind w:left="925" w:right="0" w:firstLine="0"/>
        <w:jc w:val="left"/>
        <w:rPr>
          <w:sz w:val="18"/>
        </w:rPr>
      </w:pPr>
      <w:r>
        <w:rPr/>
        <w:drawing>
          <wp:anchor distT="0" distB="0" distL="0" distR="0" allowOverlap="1" layoutInCell="1" locked="0" behindDoc="0" simplePos="0" relativeHeight="251720704">
            <wp:simplePos x="0" y="0"/>
            <wp:positionH relativeFrom="page">
              <wp:posOffset>286916</wp:posOffset>
            </wp:positionH>
            <wp:positionV relativeFrom="paragraph">
              <wp:posOffset>36769</wp:posOffset>
            </wp:positionV>
            <wp:extent cx="67150" cy="628603"/>
            <wp:effectExtent l="0" t="0" r="0" b="0"/>
            <wp:wrapNone/>
            <wp:docPr id="21" name="image4.jpeg"/>
            <wp:cNvGraphicFramePr>
              <a:graphicFrameLocks noChangeAspect="1"/>
            </wp:cNvGraphicFramePr>
            <a:graphic>
              <a:graphicData uri="http://schemas.openxmlformats.org/drawingml/2006/picture">
                <pic:pic>
                  <pic:nvPicPr>
                    <pic:cNvPr id="22" name="image4.jpeg"/>
                    <pic:cNvPicPr/>
                  </pic:nvPicPr>
                  <pic:blipFill>
                    <a:blip r:embed="rId12" cstate="print"/>
                    <a:stretch>
                      <a:fillRect/>
                    </a:stretch>
                  </pic:blipFill>
                  <pic:spPr>
                    <a:xfrm>
                      <a:off x="0" y="0"/>
                      <a:ext cx="67150" cy="628603"/>
                    </a:xfrm>
                    <a:prstGeom prst="rect">
                      <a:avLst/>
                    </a:prstGeom>
                  </pic:spPr>
                </pic:pic>
              </a:graphicData>
            </a:graphic>
          </wp:anchor>
        </w:drawing>
      </w:r>
      <w:r>
        <w:rPr>
          <w:color w:val="1A1A2D"/>
          <w:sz w:val="18"/>
        </w:rPr>
        <w:t>Nombre</w:t>
      </w:r>
      <w:r>
        <w:rPr>
          <w:color w:val="1A1A2D"/>
          <w:spacing w:val="-3"/>
          <w:sz w:val="18"/>
        </w:rPr>
        <w:t> </w:t>
      </w:r>
      <w:r>
        <w:rPr>
          <w:color w:val="1A1A2D"/>
          <w:sz w:val="18"/>
        </w:rPr>
        <w:t>y</w:t>
      </w:r>
      <w:r>
        <w:rPr>
          <w:color w:val="1A1A2D"/>
          <w:spacing w:val="-1"/>
          <w:sz w:val="18"/>
        </w:rPr>
        <w:t> </w:t>
      </w:r>
      <w:r>
        <w:rPr>
          <w:color w:val="1A1A2D"/>
          <w:sz w:val="18"/>
        </w:rPr>
        <w:t>fecha:</w:t>
      </w:r>
      <w:r>
        <w:rPr>
          <w:color w:val="1A1A2D"/>
          <w:sz w:val="18"/>
          <w:u w:val="single" w:color="19192C"/>
        </w:rPr>
        <w:t> </w:t>
        <w:tab/>
      </w:r>
      <w:r>
        <w:rPr>
          <w:color w:val="1A1A2D"/>
          <w:sz w:val="18"/>
        </w:rPr>
        <w:tab/>
        <w:t>Nombre y</w:t>
      </w:r>
      <w:r>
        <w:rPr>
          <w:color w:val="1A1A2D"/>
          <w:spacing w:val="-6"/>
          <w:sz w:val="18"/>
        </w:rPr>
        <w:t> </w:t>
      </w:r>
      <w:r>
        <w:rPr>
          <w:color w:val="1A1A2D"/>
          <w:sz w:val="18"/>
        </w:rPr>
        <w:t>fecha:</w:t>
      </w:r>
      <w:r>
        <w:rPr>
          <w:color w:val="1A1A2D"/>
          <w:spacing w:val="-1"/>
          <w:sz w:val="18"/>
        </w:rPr>
        <w:t> </w:t>
      </w:r>
      <w:r>
        <w:rPr>
          <w:color w:val="1A1A2D"/>
          <w:sz w:val="18"/>
          <w:u w:val="single" w:color="19192C"/>
        </w:rPr>
        <w:t> </w:t>
        <w:tab/>
      </w: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7"/>
        <w:rPr>
          <w:sz w:val="16"/>
        </w:rPr>
      </w:pPr>
    </w:p>
    <w:p>
      <w:pPr>
        <w:spacing w:before="56"/>
        <w:ind w:left="906" w:right="261" w:firstLine="0"/>
        <w:jc w:val="center"/>
        <w:rPr>
          <w:sz w:val="22"/>
        </w:rPr>
      </w:pPr>
      <w:r>
        <w:rPr/>
        <w:drawing>
          <wp:anchor distT="0" distB="0" distL="0" distR="0" allowOverlap="1" layoutInCell="1" locked="0" behindDoc="0" simplePos="0" relativeHeight="251721728">
            <wp:simplePos x="0" y="0"/>
            <wp:positionH relativeFrom="page">
              <wp:posOffset>283863</wp:posOffset>
            </wp:positionH>
            <wp:positionV relativeFrom="paragraph">
              <wp:posOffset>-7202722</wp:posOffset>
            </wp:positionV>
            <wp:extent cx="85464" cy="7283872"/>
            <wp:effectExtent l="0" t="0" r="0" b="0"/>
            <wp:wrapNone/>
            <wp:docPr id="23" name="image5.jpeg"/>
            <wp:cNvGraphicFramePr>
              <a:graphicFrameLocks noChangeAspect="1"/>
            </wp:cNvGraphicFramePr>
            <a:graphic>
              <a:graphicData uri="http://schemas.openxmlformats.org/drawingml/2006/picture">
                <pic:pic>
                  <pic:nvPicPr>
                    <pic:cNvPr id="24" name="image5.jpeg"/>
                    <pic:cNvPicPr/>
                  </pic:nvPicPr>
                  <pic:blipFill>
                    <a:blip r:embed="rId13" cstate="print"/>
                    <a:stretch>
                      <a:fillRect/>
                    </a:stretch>
                  </pic:blipFill>
                  <pic:spPr>
                    <a:xfrm>
                      <a:off x="0" y="0"/>
                      <a:ext cx="85464" cy="7283872"/>
                    </a:xfrm>
                    <a:prstGeom prst="rect">
                      <a:avLst/>
                    </a:prstGeom>
                  </pic:spPr>
                </pic:pic>
              </a:graphicData>
            </a:graphic>
          </wp:anchor>
        </w:drawing>
      </w:r>
      <w:r>
        <w:rPr>
          <w:color w:val="4471C4"/>
          <w:sz w:val="22"/>
        </w:rPr>
        <w:t>29</w:t>
      </w:r>
    </w:p>
    <w:p>
      <w:pPr>
        <w:spacing w:before="38"/>
        <w:ind w:left="906" w:right="243" w:firstLine="0"/>
        <w:jc w:val="center"/>
        <w:rPr>
          <w:rFonts w:ascii="Arial" w:hAnsi="Arial"/>
          <w:sz w:val="15"/>
        </w:rPr>
      </w:pPr>
      <w:r>
        <w:rPr>
          <w:rFonts w:ascii="Arial" w:hAnsi="Arial"/>
          <w:color w:val="3D363B"/>
          <w:sz w:val="15"/>
        </w:rPr>
        <w:t>www</w:t>
      </w:r>
      <w:r>
        <w:rPr>
          <w:rFonts w:ascii="Arial" w:hAnsi="Arial"/>
          <w:color w:val="13214B"/>
          <w:sz w:val="15"/>
        </w:rPr>
        <w:t>.</w:t>
      </w:r>
      <w:r>
        <w:rPr>
          <w:rFonts w:ascii="Arial" w:hAnsi="Arial"/>
          <w:color w:val="2A262D"/>
          <w:sz w:val="15"/>
        </w:rPr>
        <w:t>fucas </w:t>
      </w:r>
      <w:r>
        <w:rPr>
          <w:rFonts w:ascii="Arial" w:hAnsi="Arial"/>
          <w:color w:val="13214B"/>
          <w:sz w:val="15"/>
        </w:rPr>
        <w:t>.</w:t>
      </w:r>
      <w:r>
        <w:rPr>
          <w:rFonts w:ascii="Arial" w:hAnsi="Arial"/>
          <w:color w:val="3D363B"/>
          <w:sz w:val="15"/>
        </w:rPr>
        <w:t>o</w:t>
      </w:r>
      <w:r>
        <w:rPr>
          <w:rFonts w:ascii="Arial" w:hAnsi="Arial"/>
          <w:color w:val="3B1F1A"/>
          <w:sz w:val="15"/>
        </w:rPr>
        <w:t>r</w:t>
      </w:r>
      <w:r>
        <w:rPr>
          <w:rFonts w:ascii="Arial" w:hAnsi="Arial"/>
          <w:color w:val="3D363B"/>
          <w:sz w:val="15"/>
        </w:rPr>
        <w:t>g</w:t>
      </w:r>
      <w:r>
        <w:rPr>
          <w:rFonts w:ascii="Arial" w:hAnsi="Arial"/>
          <w:color w:val="464B60"/>
          <w:sz w:val="15"/>
        </w:rPr>
        <w:t>. </w:t>
      </w:r>
      <w:r>
        <w:rPr>
          <w:rFonts w:ascii="Arial" w:hAnsi="Arial"/>
          <w:color w:val="2A262D"/>
          <w:sz w:val="15"/>
        </w:rPr>
        <w:t>Fundación </w:t>
      </w:r>
      <w:r>
        <w:rPr>
          <w:rFonts w:ascii="Arial" w:hAnsi="Arial"/>
          <w:color w:val="3D363B"/>
          <w:sz w:val="15"/>
        </w:rPr>
        <w:t>Tu</w:t>
      </w:r>
      <w:r>
        <w:rPr>
          <w:rFonts w:ascii="Arial" w:hAnsi="Arial"/>
          <w:color w:val="4F2F1D"/>
          <w:sz w:val="15"/>
        </w:rPr>
        <w:t>t</w:t>
      </w:r>
      <w:r>
        <w:rPr>
          <w:rFonts w:ascii="Arial" w:hAnsi="Arial"/>
          <w:color w:val="3D363B"/>
          <w:sz w:val="15"/>
        </w:rPr>
        <w:t>e</w:t>
      </w:r>
      <w:r>
        <w:rPr>
          <w:rFonts w:ascii="Arial" w:hAnsi="Arial"/>
          <w:color w:val="21111D"/>
          <w:sz w:val="15"/>
        </w:rPr>
        <w:t>l</w:t>
      </w:r>
      <w:r>
        <w:rPr>
          <w:rFonts w:ascii="Arial" w:hAnsi="Arial"/>
          <w:color w:val="3D363B"/>
          <w:sz w:val="15"/>
        </w:rPr>
        <w:t>a</w:t>
      </w:r>
      <w:r>
        <w:rPr>
          <w:rFonts w:ascii="Arial" w:hAnsi="Arial"/>
          <w:color w:val="3B1F1A"/>
          <w:sz w:val="15"/>
        </w:rPr>
        <w:t>r </w:t>
      </w:r>
      <w:r>
        <w:rPr>
          <w:rFonts w:ascii="Arial" w:hAnsi="Arial"/>
          <w:color w:val="3D363B"/>
          <w:sz w:val="15"/>
        </w:rPr>
        <w:t>Canar</w:t>
      </w:r>
      <w:r>
        <w:rPr>
          <w:rFonts w:ascii="Arial" w:hAnsi="Arial"/>
          <w:color w:val="3B1F1A"/>
          <w:sz w:val="15"/>
        </w:rPr>
        <w:t>i</w:t>
      </w:r>
      <w:r>
        <w:rPr>
          <w:rFonts w:ascii="Arial" w:hAnsi="Arial"/>
          <w:color w:val="3D363B"/>
          <w:sz w:val="15"/>
        </w:rPr>
        <w:t>a </w:t>
      </w:r>
      <w:r>
        <w:rPr>
          <w:rFonts w:ascii="Arial" w:hAnsi="Arial"/>
          <w:color w:val="4F2F1D"/>
          <w:sz w:val="15"/>
        </w:rPr>
        <w:t>p</w:t>
      </w:r>
      <w:r>
        <w:rPr>
          <w:rFonts w:ascii="Arial" w:hAnsi="Arial"/>
          <w:color w:val="3D363B"/>
          <w:sz w:val="15"/>
        </w:rPr>
        <w:t>a</w:t>
      </w:r>
      <w:r>
        <w:rPr>
          <w:rFonts w:ascii="Arial" w:hAnsi="Arial"/>
          <w:color w:val="21111D"/>
          <w:sz w:val="15"/>
        </w:rPr>
        <w:t>r</w:t>
      </w:r>
      <w:r>
        <w:rPr>
          <w:rFonts w:ascii="Arial" w:hAnsi="Arial"/>
          <w:color w:val="3D363B"/>
          <w:sz w:val="15"/>
        </w:rPr>
        <w:t>a </w:t>
      </w:r>
      <w:r>
        <w:rPr>
          <w:rFonts w:ascii="Arial" w:hAnsi="Arial"/>
          <w:color w:val="4F2F1D"/>
          <w:sz w:val="15"/>
        </w:rPr>
        <w:t>l</w:t>
      </w:r>
      <w:r>
        <w:rPr>
          <w:rFonts w:ascii="Arial" w:hAnsi="Arial"/>
          <w:color w:val="3D363B"/>
          <w:sz w:val="15"/>
        </w:rPr>
        <w:t>a </w:t>
      </w:r>
      <w:r>
        <w:rPr>
          <w:rFonts w:ascii="Arial" w:hAnsi="Arial"/>
          <w:color w:val="2A262D"/>
          <w:sz w:val="15"/>
        </w:rPr>
        <w:t>Acción </w:t>
      </w:r>
      <w:r>
        <w:rPr>
          <w:rFonts w:ascii="Arial" w:hAnsi="Arial"/>
          <w:color w:val="3D363B"/>
          <w:sz w:val="15"/>
        </w:rPr>
        <w:t>Soc</w:t>
      </w:r>
      <w:r>
        <w:rPr>
          <w:rFonts w:ascii="Arial" w:hAnsi="Arial"/>
          <w:color w:val="4F2F1D"/>
          <w:sz w:val="15"/>
        </w:rPr>
        <w:t>i</w:t>
      </w:r>
      <w:r>
        <w:rPr>
          <w:rFonts w:ascii="Arial" w:hAnsi="Arial"/>
          <w:color w:val="3D363B"/>
          <w:sz w:val="15"/>
        </w:rPr>
        <w:t>a</w:t>
      </w:r>
      <w:r>
        <w:rPr>
          <w:rFonts w:ascii="Arial" w:hAnsi="Arial"/>
          <w:color w:val="21111D"/>
          <w:sz w:val="15"/>
        </w:rPr>
        <w:t>l</w:t>
      </w:r>
      <w:r>
        <w:rPr>
          <w:rFonts w:ascii="Arial" w:hAnsi="Arial"/>
          <w:color w:val="645457"/>
          <w:sz w:val="15"/>
        </w:rPr>
        <w:t>, </w:t>
      </w:r>
      <w:r>
        <w:rPr>
          <w:rFonts w:ascii="Arial" w:hAnsi="Arial"/>
          <w:color w:val="3D363B"/>
          <w:sz w:val="15"/>
        </w:rPr>
        <w:t>M</w:t>
      </w:r>
      <w:r>
        <w:rPr>
          <w:rFonts w:ascii="Arial" w:hAnsi="Arial"/>
          <w:color w:val="464B60"/>
          <w:sz w:val="15"/>
        </w:rPr>
        <w:t>.</w:t>
      </w:r>
      <w:r>
        <w:rPr>
          <w:rFonts w:ascii="Arial" w:hAnsi="Arial"/>
          <w:color w:val="3D363B"/>
          <w:sz w:val="15"/>
        </w:rPr>
        <w:t>P</w:t>
      </w:r>
      <w:r>
        <w:rPr>
          <w:rFonts w:ascii="Arial" w:hAnsi="Arial"/>
          <w:color w:val="464B60"/>
          <w:sz w:val="15"/>
        </w:rPr>
        <w:t>. </w:t>
      </w:r>
      <w:r>
        <w:rPr>
          <w:rFonts w:ascii="Arial" w:hAnsi="Arial"/>
          <w:color w:val="3D363B"/>
          <w:sz w:val="15"/>
        </w:rPr>
        <w:t>C/ Gaya</w:t>
      </w:r>
      <w:r>
        <w:rPr>
          <w:rFonts w:ascii="Arial" w:hAnsi="Arial"/>
          <w:color w:val="5B5B70"/>
          <w:sz w:val="15"/>
        </w:rPr>
        <w:t>, </w:t>
      </w:r>
      <w:r>
        <w:rPr>
          <w:rFonts w:ascii="Arial" w:hAnsi="Arial"/>
          <w:color w:val="2A262D"/>
          <w:sz w:val="15"/>
        </w:rPr>
        <w:t>n</w:t>
      </w:r>
      <w:r>
        <w:rPr>
          <w:rFonts w:ascii="Arial" w:hAnsi="Arial"/>
          <w:color w:val="645457"/>
          <w:sz w:val="15"/>
        </w:rPr>
        <w:t>º </w:t>
      </w:r>
      <w:r>
        <w:rPr>
          <w:rFonts w:ascii="Arial" w:hAnsi="Arial"/>
          <w:color w:val="594241"/>
          <w:sz w:val="15"/>
        </w:rPr>
        <w:t>6 </w:t>
      </w:r>
      <w:r>
        <w:rPr>
          <w:rFonts w:ascii="Arial" w:hAnsi="Arial"/>
          <w:color w:val="3D363B"/>
          <w:sz w:val="15"/>
        </w:rPr>
        <w:t>(Tafi</w:t>
      </w:r>
      <w:r>
        <w:rPr>
          <w:rFonts w:ascii="Arial" w:hAnsi="Arial"/>
          <w:color w:val="3B1F1A"/>
          <w:sz w:val="15"/>
        </w:rPr>
        <w:t>r</w:t>
      </w:r>
      <w:r>
        <w:rPr>
          <w:rFonts w:ascii="Arial" w:hAnsi="Arial"/>
          <w:color w:val="3D363B"/>
          <w:sz w:val="15"/>
        </w:rPr>
        <w:t>a A</w:t>
      </w:r>
      <w:r>
        <w:rPr>
          <w:rFonts w:ascii="Arial" w:hAnsi="Arial"/>
          <w:color w:val="21111D"/>
          <w:sz w:val="15"/>
        </w:rPr>
        <w:t>lt</w:t>
      </w:r>
      <w:r>
        <w:rPr>
          <w:rFonts w:ascii="Arial" w:hAnsi="Arial"/>
          <w:color w:val="3D363B"/>
          <w:sz w:val="15"/>
        </w:rPr>
        <w:t>a)</w:t>
      </w:r>
      <w:r>
        <w:rPr>
          <w:rFonts w:ascii="Arial" w:hAnsi="Arial"/>
          <w:color w:val="464B60"/>
          <w:sz w:val="15"/>
        </w:rPr>
        <w:t>. </w:t>
      </w:r>
      <w:r>
        <w:rPr>
          <w:rFonts w:ascii="Arial" w:hAnsi="Arial"/>
          <w:color w:val="3D363B"/>
          <w:sz w:val="15"/>
        </w:rPr>
        <w:t>35017 </w:t>
      </w:r>
      <w:r>
        <w:rPr>
          <w:rFonts w:ascii="Arial" w:hAnsi="Arial"/>
          <w:color w:val="2A262D"/>
          <w:sz w:val="15"/>
        </w:rPr>
        <w:t>Las </w:t>
      </w:r>
      <w:r>
        <w:rPr>
          <w:rFonts w:ascii="Arial" w:hAnsi="Arial"/>
          <w:color w:val="3D363B"/>
          <w:sz w:val="15"/>
        </w:rPr>
        <w:t>Pa</w:t>
      </w:r>
      <w:r>
        <w:rPr>
          <w:rFonts w:ascii="Arial" w:hAnsi="Arial"/>
          <w:color w:val="21111D"/>
          <w:sz w:val="15"/>
        </w:rPr>
        <w:t>l</w:t>
      </w:r>
      <w:r>
        <w:rPr>
          <w:rFonts w:ascii="Arial" w:hAnsi="Arial"/>
          <w:color w:val="3B1F1A"/>
          <w:sz w:val="15"/>
        </w:rPr>
        <w:t>m</w:t>
      </w:r>
      <w:r>
        <w:rPr>
          <w:rFonts w:ascii="Arial" w:hAnsi="Arial"/>
          <w:color w:val="3D363B"/>
          <w:sz w:val="15"/>
        </w:rPr>
        <w:t>as </w:t>
      </w:r>
      <w:r>
        <w:rPr>
          <w:rFonts w:ascii="Arial" w:hAnsi="Arial"/>
          <w:color w:val="2A262D"/>
          <w:sz w:val="15"/>
        </w:rPr>
        <w:t>de </w:t>
      </w:r>
      <w:r>
        <w:rPr>
          <w:rFonts w:ascii="Arial" w:hAnsi="Arial"/>
          <w:color w:val="3D363B"/>
          <w:sz w:val="15"/>
        </w:rPr>
        <w:t>G</w:t>
      </w:r>
      <w:r>
        <w:rPr>
          <w:rFonts w:ascii="Arial" w:hAnsi="Arial"/>
          <w:color w:val="3B1F1A"/>
          <w:sz w:val="15"/>
        </w:rPr>
        <w:t>r</w:t>
      </w:r>
      <w:r>
        <w:rPr>
          <w:rFonts w:ascii="Arial" w:hAnsi="Arial"/>
          <w:color w:val="3D363B"/>
          <w:sz w:val="15"/>
        </w:rPr>
        <w:t>an Canar</w:t>
      </w:r>
      <w:r>
        <w:rPr>
          <w:rFonts w:ascii="Arial" w:hAnsi="Arial"/>
          <w:color w:val="3B1F1A"/>
          <w:sz w:val="15"/>
        </w:rPr>
        <w:t>i</w:t>
      </w:r>
      <w:r>
        <w:rPr>
          <w:rFonts w:ascii="Arial" w:hAnsi="Arial"/>
          <w:color w:val="3D363B"/>
          <w:sz w:val="15"/>
        </w:rPr>
        <w:t>a (Las Pa</w:t>
      </w:r>
      <w:r>
        <w:rPr>
          <w:rFonts w:ascii="Arial" w:hAnsi="Arial"/>
          <w:color w:val="3B1F1A"/>
          <w:sz w:val="15"/>
        </w:rPr>
        <w:t>lm</w:t>
      </w:r>
      <w:r>
        <w:rPr>
          <w:rFonts w:ascii="Arial" w:hAnsi="Arial"/>
          <w:color w:val="3D363B"/>
          <w:sz w:val="15"/>
        </w:rPr>
        <w:t>as)</w:t>
      </w:r>
    </w:p>
    <w:sectPr>
      <w:type w:val="continuous"/>
      <w:pgSz w:w="11910" w:h="16840"/>
      <w:pgMar w:top="1580" w:bottom="280" w:left="340" w:right="4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ourier New">
    <w:altName w:val="Courier New"/>
    <w:charset w:val="0"/>
    <w:family w:val="modern"/>
    <w:pitch w:val="fixed"/>
  </w:font>
  <w:font w:name="Calibri">
    <w:altName w:val="Calibri"/>
    <w:charset w:val="0"/>
    <w:family w:val="swiss"/>
    <w:pitch w:val="variable"/>
  </w:font>
  <w:font w:name="Arial">
    <w:altName w:val="Arial"/>
    <w:charset w:val="0"/>
    <w:family w:val="swiss"/>
    <w:pitch w:val="variable"/>
  </w:font>
  <w:font w:name="Calibri Light">
    <w:altName w:val="Calibri Light"/>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decimal"/>
      <w:lvlText w:val="%1."/>
      <w:lvlJc w:val="left"/>
      <w:pPr>
        <w:ind w:left="1104" w:hanging="312"/>
        <w:jc w:val="left"/>
      </w:pPr>
      <w:rPr>
        <w:rFonts w:hint="default" w:ascii="Calibri Light" w:hAnsi="Calibri Light" w:eastAsia="Calibri Light" w:cs="Calibri Light"/>
        <w:color w:val="2E5395"/>
        <w:spacing w:val="-1"/>
        <w:w w:val="99"/>
        <w:sz w:val="32"/>
        <w:szCs w:val="32"/>
        <w:lang w:val="es-ES" w:eastAsia="es-ES" w:bidi="es-ES"/>
      </w:rPr>
    </w:lvl>
    <w:lvl w:ilvl="1">
      <w:start w:val="0"/>
      <w:numFmt w:val="bullet"/>
      <w:lvlText w:val="•"/>
      <w:lvlJc w:val="left"/>
      <w:pPr>
        <w:ind w:left="2104" w:hanging="312"/>
      </w:pPr>
      <w:rPr>
        <w:rFonts w:hint="default"/>
        <w:lang w:val="es-ES" w:eastAsia="es-ES" w:bidi="es-ES"/>
      </w:rPr>
    </w:lvl>
    <w:lvl w:ilvl="2">
      <w:start w:val="0"/>
      <w:numFmt w:val="bullet"/>
      <w:lvlText w:val="•"/>
      <w:lvlJc w:val="left"/>
      <w:pPr>
        <w:ind w:left="3109" w:hanging="312"/>
      </w:pPr>
      <w:rPr>
        <w:rFonts w:hint="default"/>
        <w:lang w:val="es-ES" w:eastAsia="es-ES" w:bidi="es-ES"/>
      </w:rPr>
    </w:lvl>
    <w:lvl w:ilvl="3">
      <w:start w:val="0"/>
      <w:numFmt w:val="bullet"/>
      <w:lvlText w:val="•"/>
      <w:lvlJc w:val="left"/>
      <w:pPr>
        <w:ind w:left="4113" w:hanging="312"/>
      </w:pPr>
      <w:rPr>
        <w:rFonts w:hint="default"/>
        <w:lang w:val="es-ES" w:eastAsia="es-ES" w:bidi="es-ES"/>
      </w:rPr>
    </w:lvl>
    <w:lvl w:ilvl="4">
      <w:start w:val="0"/>
      <w:numFmt w:val="bullet"/>
      <w:lvlText w:val="•"/>
      <w:lvlJc w:val="left"/>
      <w:pPr>
        <w:ind w:left="5118" w:hanging="312"/>
      </w:pPr>
      <w:rPr>
        <w:rFonts w:hint="default"/>
        <w:lang w:val="es-ES" w:eastAsia="es-ES" w:bidi="es-ES"/>
      </w:rPr>
    </w:lvl>
    <w:lvl w:ilvl="5">
      <w:start w:val="0"/>
      <w:numFmt w:val="bullet"/>
      <w:lvlText w:val="•"/>
      <w:lvlJc w:val="left"/>
      <w:pPr>
        <w:ind w:left="6123" w:hanging="312"/>
      </w:pPr>
      <w:rPr>
        <w:rFonts w:hint="default"/>
        <w:lang w:val="es-ES" w:eastAsia="es-ES" w:bidi="es-ES"/>
      </w:rPr>
    </w:lvl>
    <w:lvl w:ilvl="6">
      <w:start w:val="0"/>
      <w:numFmt w:val="bullet"/>
      <w:lvlText w:val="•"/>
      <w:lvlJc w:val="left"/>
      <w:pPr>
        <w:ind w:left="7127" w:hanging="312"/>
      </w:pPr>
      <w:rPr>
        <w:rFonts w:hint="default"/>
        <w:lang w:val="es-ES" w:eastAsia="es-ES" w:bidi="es-ES"/>
      </w:rPr>
    </w:lvl>
    <w:lvl w:ilvl="7">
      <w:start w:val="0"/>
      <w:numFmt w:val="bullet"/>
      <w:lvlText w:val="•"/>
      <w:lvlJc w:val="left"/>
      <w:pPr>
        <w:ind w:left="8132" w:hanging="312"/>
      </w:pPr>
      <w:rPr>
        <w:rFonts w:hint="default"/>
        <w:lang w:val="es-ES" w:eastAsia="es-ES" w:bidi="es-ES"/>
      </w:rPr>
    </w:lvl>
    <w:lvl w:ilvl="8">
      <w:start w:val="0"/>
      <w:numFmt w:val="bullet"/>
      <w:lvlText w:val="•"/>
      <w:lvlJc w:val="left"/>
      <w:pPr>
        <w:ind w:left="9137" w:hanging="312"/>
      </w:pPr>
      <w:rPr>
        <w:rFonts w:hint="default"/>
        <w:lang w:val="es-ES" w:eastAsia="es-ES" w:bidi="es-ES"/>
      </w:rPr>
    </w:lvl>
  </w:abstractNum>
  <w:abstractNum w:abstractNumId="4">
    <w:multiLevelType w:val="hybridMultilevel"/>
    <w:lvl w:ilvl="0">
      <w:start w:val="3"/>
      <w:numFmt w:val="upperLetter"/>
      <w:lvlText w:val="%1"/>
      <w:lvlJc w:val="left"/>
      <w:pPr>
        <w:ind w:left="1455" w:hanging="356"/>
        <w:jc w:val="left"/>
      </w:pPr>
      <w:rPr>
        <w:rFonts w:hint="default"/>
        <w:lang w:val="es-ES" w:eastAsia="es-ES" w:bidi="es-ES"/>
      </w:rPr>
    </w:lvl>
    <w:lvl w:ilvl="1">
      <w:start w:val="3"/>
      <w:numFmt w:val="decimalZero"/>
      <w:lvlText w:val="%1-%2"/>
      <w:lvlJc w:val="left"/>
      <w:pPr>
        <w:ind w:left="1455" w:hanging="356"/>
        <w:jc w:val="left"/>
      </w:pPr>
      <w:rPr>
        <w:rFonts w:hint="default" w:ascii="Calibri" w:hAnsi="Calibri" w:eastAsia="Calibri" w:cs="Calibri"/>
        <w:color w:val="1A1A2D"/>
        <w:w w:val="100"/>
        <w:sz w:val="17"/>
        <w:szCs w:val="17"/>
        <w:lang w:val="es-ES" w:eastAsia="es-ES" w:bidi="es-ES"/>
      </w:rPr>
    </w:lvl>
    <w:lvl w:ilvl="2">
      <w:start w:val="0"/>
      <w:numFmt w:val="bullet"/>
      <w:lvlText w:val="•"/>
      <w:lvlJc w:val="left"/>
      <w:pPr>
        <w:ind w:left="3397" w:hanging="356"/>
      </w:pPr>
      <w:rPr>
        <w:rFonts w:hint="default"/>
        <w:lang w:val="es-ES" w:eastAsia="es-ES" w:bidi="es-ES"/>
      </w:rPr>
    </w:lvl>
    <w:lvl w:ilvl="3">
      <w:start w:val="0"/>
      <w:numFmt w:val="bullet"/>
      <w:lvlText w:val="•"/>
      <w:lvlJc w:val="left"/>
      <w:pPr>
        <w:ind w:left="4365" w:hanging="356"/>
      </w:pPr>
      <w:rPr>
        <w:rFonts w:hint="default"/>
        <w:lang w:val="es-ES" w:eastAsia="es-ES" w:bidi="es-ES"/>
      </w:rPr>
    </w:lvl>
    <w:lvl w:ilvl="4">
      <w:start w:val="0"/>
      <w:numFmt w:val="bullet"/>
      <w:lvlText w:val="•"/>
      <w:lvlJc w:val="left"/>
      <w:pPr>
        <w:ind w:left="5334" w:hanging="356"/>
      </w:pPr>
      <w:rPr>
        <w:rFonts w:hint="default"/>
        <w:lang w:val="es-ES" w:eastAsia="es-ES" w:bidi="es-ES"/>
      </w:rPr>
    </w:lvl>
    <w:lvl w:ilvl="5">
      <w:start w:val="0"/>
      <w:numFmt w:val="bullet"/>
      <w:lvlText w:val="•"/>
      <w:lvlJc w:val="left"/>
      <w:pPr>
        <w:ind w:left="6303" w:hanging="356"/>
      </w:pPr>
      <w:rPr>
        <w:rFonts w:hint="default"/>
        <w:lang w:val="es-ES" w:eastAsia="es-ES" w:bidi="es-ES"/>
      </w:rPr>
    </w:lvl>
    <w:lvl w:ilvl="6">
      <w:start w:val="0"/>
      <w:numFmt w:val="bullet"/>
      <w:lvlText w:val="•"/>
      <w:lvlJc w:val="left"/>
      <w:pPr>
        <w:ind w:left="7271" w:hanging="356"/>
      </w:pPr>
      <w:rPr>
        <w:rFonts w:hint="default"/>
        <w:lang w:val="es-ES" w:eastAsia="es-ES" w:bidi="es-ES"/>
      </w:rPr>
    </w:lvl>
    <w:lvl w:ilvl="7">
      <w:start w:val="0"/>
      <w:numFmt w:val="bullet"/>
      <w:lvlText w:val="•"/>
      <w:lvlJc w:val="left"/>
      <w:pPr>
        <w:ind w:left="8240" w:hanging="356"/>
      </w:pPr>
      <w:rPr>
        <w:rFonts w:hint="default"/>
        <w:lang w:val="es-ES" w:eastAsia="es-ES" w:bidi="es-ES"/>
      </w:rPr>
    </w:lvl>
    <w:lvl w:ilvl="8">
      <w:start w:val="0"/>
      <w:numFmt w:val="bullet"/>
      <w:lvlText w:val="•"/>
      <w:lvlJc w:val="left"/>
      <w:pPr>
        <w:ind w:left="9209" w:hanging="356"/>
      </w:pPr>
      <w:rPr>
        <w:rFonts w:hint="default"/>
        <w:lang w:val="es-ES" w:eastAsia="es-ES" w:bidi="es-ES"/>
      </w:rPr>
    </w:lvl>
  </w:abstractNum>
  <w:abstractNum w:abstractNumId="3">
    <w:multiLevelType w:val="hybridMultilevel"/>
    <w:lvl w:ilvl="0">
      <w:start w:val="2"/>
      <w:numFmt w:val="upperLetter"/>
      <w:lvlText w:val="%1"/>
      <w:lvlJc w:val="left"/>
      <w:pPr>
        <w:ind w:left="1458" w:hanging="358"/>
        <w:jc w:val="left"/>
      </w:pPr>
      <w:rPr>
        <w:rFonts w:hint="default"/>
        <w:lang w:val="es-ES" w:eastAsia="es-ES" w:bidi="es-ES"/>
      </w:rPr>
    </w:lvl>
    <w:lvl w:ilvl="1">
      <w:start w:val="1"/>
      <w:numFmt w:val="decimalZero"/>
      <w:lvlText w:val="%1-%2"/>
      <w:lvlJc w:val="left"/>
      <w:pPr>
        <w:ind w:left="1458" w:hanging="358"/>
        <w:jc w:val="left"/>
      </w:pPr>
      <w:rPr>
        <w:rFonts w:hint="default" w:ascii="Calibri" w:hAnsi="Calibri" w:eastAsia="Calibri" w:cs="Calibri"/>
        <w:color w:val="1A1A2D"/>
        <w:w w:val="100"/>
        <w:sz w:val="17"/>
        <w:szCs w:val="17"/>
        <w:lang w:val="es-ES" w:eastAsia="es-ES" w:bidi="es-ES"/>
      </w:rPr>
    </w:lvl>
    <w:lvl w:ilvl="2">
      <w:start w:val="0"/>
      <w:numFmt w:val="bullet"/>
      <w:lvlText w:val="•"/>
      <w:lvlJc w:val="left"/>
      <w:pPr>
        <w:ind w:left="3397" w:hanging="358"/>
      </w:pPr>
      <w:rPr>
        <w:rFonts w:hint="default"/>
        <w:lang w:val="es-ES" w:eastAsia="es-ES" w:bidi="es-ES"/>
      </w:rPr>
    </w:lvl>
    <w:lvl w:ilvl="3">
      <w:start w:val="0"/>
      <w:numFmt w:val="bullet"/>
      <w:lvlText w:val="•"/>
      <w:lvlJc w:val="left"/>
      <w:pPr>
        <w:ind w:left="4365" w:hanging="358"/>
      </w:pPr>
      <w:rPr>
        <w:rFonts w:hint="default"/>
        <w:lang w:val="es-ES" w:eastAsia="es-ES" w:bidi="es-ES"/>
      </w:rPr>
    </w:lvl>
    <w:lvl w:ilvl="4">
      <w:start w:val="0"/>
      <w:numFmt w:val="bullet"/>
      <w:lvlText w:val="•"/>
      <w:lvlJc w:val="left"/>
      <w:pPr>
        <w:ind w:left="5334" w:hanging="358"/>
      </w:pPr>
      <w:rPr>
        <w:rFonts w:hint="default"/>
        <w:lang w:val="es-ES" w:eastAsia="es-ES" w:bidi="es-ES"/>
      </w:rPr>
    </w:lvl>
    <w:lvl w:ilvl="5">
      <w:start w:val="0"/>
      <w:numFmt w:val="bullet"/>
      <w:lvlText w:val="•"/>
      <w:lvlJc w:val="left"/>
      <w:pPr>
        <w:ind w:left="6303" w:hanging="358"/>
      </w:pPr>
      <w:rPr>
        <w:rFonts w:hint="default"/>
        <w:lang w:val="es-ES" w:eastAsia="es-ES" w:bidi="es-ES"/>
      </w:rPr>
    </w:lvl>
    <w:lvl w:ilvl="6">
      <w:start w:val="0"/>
      <w:numFmt w:val="bullet"/>
      <w:lvlText w:val="•"/>
      <w:lvlJc w:val="left"/>
      <w:pPr>
        <w:ind w:left="7271" w:hanging="358"/>
      </w:pPr>
      <w:rPr>
        <w:rFonts w:hint="default"/>
        <w:lang w:val="es-ES" w:eastAsia="es-ES" w:bidi="es-ES"/>
      </w:rPr>
    </w:lvl>
    <w:lvl w:ilvl="7">
      <w:start w:val="0"/>
      <w:numFmt w:val="bullet"/>
      <w:lvlText w:val="•"/>
      <w:lvlJc w:val="left"/>
      <w:pPr>
        <w:ind w:left="8240" w:hanging="358"/>
      </w:pPr>
      <w:rPr>
        <w:rFonts w:hint="default"/>
        <w:lang w:val="es-ES" w:eastAsia="es-ES" w:bidi="es-ES"/>
      </w:rPr>
    </w:lvl>
    <w:lvl w:ilvl="8">
      <w:start w:val="0"/>
      <w:numFmt w:val="bullet"/>
      <w:lvlText w:val="•"/>
      <w:lvlJc w:val="left"/>
      <w:pPr>
        <w:ind w:left="9209" w:hanging="358"/>
      </w:pPr>
      <w:rPr>
        <w:rFonts w:hint="default"/>
        <w:lang w:val="es-ES" w:eastAsia="es-ES" w:bidi="es-ES"/>
      </w:rPr>
    </w:lvl>
  </w:abstractNum>
  <w:abstractNum w:abstractNumId="2">
    <w:multiLevelType w:val="hybridMultilevel"/>
    <w:lvl w:ilvl="0">
      <w:start w:val="1"/>
      <w:numFmt w:val="upperLetter"/>
      <w:lvlText w:val="%1"/>
      <w:lvlJc w:val="left"/>
      <w:pPr>
        <w:ind w:left="1462" w:hanging="363"/>
        <w:jc w:val="left"/>
      </w:pPr>
      <w:rPr>
        <w:rFonts w:hint="default"/>
        <w:lang w:val="es-ES" w:eastAsia="es-ES" w:bidi="es-ES"/>
      </w:rPr>
    </w:lvl>
    <w:lvl w:ilvl="1">
      <w:start w:val="4"/>
      <w:numFmt w:val="decimalZero"/>
      <w:lvlText w:val="%1-%2"/>
      <w:lvlJc w:val="left"/>
      <w:pPr>
        <w:ind w:left="1462" w:hanging="363"/>
        <w:jc w:val="left"/>
      </w:pPr>
      <w:rPr>
        <w:rFonts w:hint="default" w:ascii="Calibri" w:hAnsi="Calibri" w:eastAsia="Calibri" w:cs="Calibri"/>
        <w:color w:val="1A1A2D"/>
        <w:spacing w:val="-1"/>
        <w:w w:val="100"/>
        <w:sz w:val="17"/>
        <w:szCs w:val="17"/>
        <w:lang w:val="es-ES" w:eastAsia="es-ES" w:bidi="es-ES"/>
      </w:rPr>
    </w:lvl>
    <w:lvl w:ilvl="2">
      <w:start w:val="0"/>
      <w:numFmt w:val="bullet"/>
      <w:lvlText w:val="•"/>
      <w:lvlJc w:val="left"/>
      <w:pPr>
        <w:ind w:left="3397" w:hanging="363"/>
      </w:pPr>
      <w:rPr>
        <w:rFonts w:hint="default"/>
        <w:lang w:val="es-ES" w:eastAsia="es-ES" w:bidi="es-ES"/>
      </w:rPr>
    </w:lvl>
    <w:lvl w:ilvl="3">
      <w:start w:val="0"/>
      <w:numFmt w:val="bullet"/>
      <w:lvlText w:val="•"/>
      <w:lvlJc w:val="left"/>
      <w:pPr>
        <w:ind w:left="4365" w:hanging="363"/>
      </w:pPr>
      <w:rPr>
        <w:rFonts w:hint="default"/>
        <w:lang w:val="es-ES" w:eastAsia="es-ES" w:bidi="es-ES"/>
      </w:rPr>
    </w:lvl>
    <w:lvl w:ilvl="4">
      <w:start w:val="0"/>
      <w:numFmt w:val="bullet"/>
      <w:lvlText w:val="•"/>
      <w:lvlJc w:val="left"/>
      <w:pPr>
        <w:ind w:left="5334" w:hanging="363"/>
      </w:pPr>
      <w:rPr>
        <w:rFonts w:hint="default"/>
        <w:lang w:val="es-ES" w:eastAsia="es-ES" w:bidi="es-ES"/>
      </w:rPr>
    </w:lvl>
    <w:lvl w:ilvl="5">
      <w:start w:val="0"/>
      <w:numFmt w:val="bullet"/>
      <w:lvlText w:val="•"/>
      <w:lvlJc w:val="left"/>
      <w:pPr>
        <w:ind w:left="6303" w:hanging="363"/>
      </w:pPr>
      <w:rPr>
        <w:rFonts w:hint="default"/>
        <w:lang w:val="es-ES" w:eastAsia="es-ES" w:bidi="es-ES"/>
      </w:rPr>
    </w:lvl>
    <w:lvl w:ilvl="6">
      <w:start w:val="0"/>
      <w:numFmt w:val="bullet"/>
      <w:lvlText w:val="•"/>
      <w:lvlJc w:val="left"/>
      <w:pPr>
        <w:ind w:left="7271" w:hanging="363"/>
      </w:pPr>
      <w:rPr>
        <w:rFonts w:hint="default"/>
        <w:lang w:val="es-ES" w:eastAsia="es-ES" w:bidi="es-ES"/>
      </w:rPr>
    </w:lvl>
    <w:lvl w:ilvl="7">
      <w:start w:val="0"/>
      <w:numFmt w:val="bullet"/>
      <w:lvlText w:val="•"/>
      <w:lvlJc w:val="left"/>
      <w:pPr>
        <w:ind w:left="8240" w:hanging="363"/>
      </w:pPr>
      <w:rPr>
        <w:rFonts w:hint="default"/>
        <w:lang w:val="es-ES" w:eastAsia="es-ES" w:bidi="es-ES"/>
      </w:rPr>
    </w:lvl>
    <w:lvl w:ilvl="8">
      <w:start w:val="0"/>
      <w:numFmt w:val="bullet"/>
      <w:lvlText w:val="•"/>
      <w:lvlJc w:val="left"/>
      <w:pPr>
        <w:ind w:left="9209" w:hanging="363"/>
      </w:pPr>
      <w:rPr>
        <w:rFonts w:hint="default"/>
        <w:lang w:val="es-ES" w:eastAsia="es-ES" w:bidi="es-ES"/>
      </w:rPr>
    </w:lvl>
  </w:abstractNum>
  <w:abstractNum w:abstractNumId="1">
    <w:multiLevelType w:val="hybridMultilevel"/>
    <w:lvl w:ilvl="0">
      <w:start w:val="1"/>
      <w:numFmt w:val="upperLetter"/>
      <w:lvlText w:val="%1"/>
      <w:lvlJc w:val="left"/>
      <w:pPr>
        <w:ind w:left="1462" w:hanging="363"/>
        <w:jc w:val="left"/>
      </w:pPr>
      <w:rPr>
        <w:rFonts w:hint="default"/>
        <w:lang w:val="es-ES" w:eastAsia="es-ES" w:bidi="es-ES"/>
      </w:rPr>
    </w:lvl>
    <w:lvl w:ilvl="1">
      <w:start w:val="1"/>
      <w:numFmt w:val="decimalZero"/>
      <w:lvlText w:val="%1-%2"/>
      <w:lvlJc w:val="left"/>
      <w:pPr>
        <w:ind w:left="1462" w:hanging="363"/>
        <w:jc w:val="left"/>
      </w:pPr>
      <w:rPr>
        <w:rFonts w:hint="default" w:ascii="Calibri" w:hAnsi="Calibri" w:eastAsia="Calibri" w:cs="Calibri"/>
        <w:color w:val="1A1A2D"/>
        <w:spacing w:val="-1"/>
        <w:w w:val="100"/>
        <w:sz w:val="17"/>
        <w:szCs w:val="17"/>
        <w:lang w:val="es-ES" w:eastAsia="es-ES" w:bidi="es-ES"/>
      </w:rPr>
    </w:lvl>
    <w:lvl w:ilvl="2">
      <w:start w:val="0"/>
      <w:numFmt w:val="bullet"/>
      <w:lvlText w:val="•"/>
      <w:lvlJc w:val="left"/>
      <w:pPr>
        <w:ind w:left="3397" w:hanging="363"/>
      </w:pPr>
      <w:rPr>
        <w:rFonts w:hint="default"/>
        <w:lang w:val="es-ES" w:eastAsia="es-ES" w:bidi="es-ES"/>
      </w:rPr>
    </w:lvl>
    <w:lvl w:ilvl="3">
      <w:start w:val="0"/>
      <w:numFmt w:val="bullet"/>
      <w:lvlText w:val="•"/>
      <w:lvlJc w:val="left"/>
      <w:pPr>
        <w:ind w:left="4365" w:hanging="363"/>
      </w:pPr>
      <w:rPr>
        <w:rFonts w:hint="default"/>
        <w:lang w:val="es-ES" w:eastAsia="es-ES" w:bidi="es-ES"/>
      </w:rPr>
    </w:lvl>
    <w:lvl w:ilvl="4">
      <w:start w:val="0"/>
      <w:numFmt w:val="bullet"/>
      <w:lvlText w:val="•"/>
      <w:lvlJc w:val="left"/>
      <w:pPr>
        <w:ind w:left="5334" w:hanging="363"/>
      </w:pPr>
      <w:rPr>
        <w:rFonts w:hint="default"/>
        <w:lang w:val="es-ES" w:eastAsia="es-ES" w:bidi="es-ES"/>
      </w:rPr>
    </w:lvl>
    <w:lvl w:ilvl="5">
      <w:start w:val="0"/>
      <w:numFmt w:val="bullet"/>
      <w:lvlText w:val="•"/>
      <w:lvlJc w:val="left"/>
      <w:pPr>
        <w:ind w:left="6303" w:hanging="363"/>
      </w:pPr>
      <w:rPr>
        <w:rFonts w:hint="default"/>
        <w:lang w:val="es-ES" w:eastAsia="es-ES" w:bidi="es-ES"/>
      </w:rPr>
    </w:lvl>
    <w:lvl w:ilvl="6">
      <w:start w:val="0"/>
      <w:numFmt w:val="bullet"/>
      <w:lvlText w:val="•"/>
      <w:lvlJc w:val="left"/>
      <w:pPr>
        <w:ind w:left="7271" w:hanging="363"/>
      </w:pPr>
      <w:rPr>
        <w:rFonts w:hint="default"/>
        <w:lang w:val="es-ES" w:eastAsia="es-ES" w:bidi="es-ES"/>
      </w:rPr>
    </w:lvl>
    <w:lvl w:ilvl="7">
      <w:start w:val="0"/>
      <w:numFmt w:val="bullet"/>
      <w:lvlText w:val="•"/>
      <w:lvlJc w:val="left"/>
      <w:pPr>
        <w:ind w:left="8240" w:hanging="363"/>
      </w:pPr>
      <w:rPr>
        <w:rFonts w:hint="default"/>
        <w:lang w:val="es-ES" w:eastAsia="es-ES" w:bidi="es-ES"/>
      </w:rPr>
    </w:lvl>
    <w:lvl w:ilvl="8">
      <w:start w:val="0"/>
      <w:numFmt w:val="bullet"/>
      <w:lvlText w:val="•"/>
      <w:lvlJc w:val="left"/>
      <w:pPr>
        <w:ind w:left="9209" w:hanging="363"/>
      </w:pPr>
      <w:rPr>
        <w:rFonts w:hint="default"/>
        <w:lang w:val="es-ES" w:eastAsia="es-ES" w:bidi="es-ES"/>
      </w:rPr>
    </w:lvl>
  </w:abstractNum>
  <w:abstractNum w:abstractNumId="0">
    <w:multiLevelType w:val="hybridMultilevel"/>
    <w:lvl w:ilvl="0">
      <w:start w:val="1"/>
      <w:numFmt w:val="decimal"/>
      <w:lvlText w:val="%1."/>
      <w:lvlJc w:val="left"/>
      <w:pPr>
        <w:ind w:left="970" w:hanging="178"/>
        <w:jc w:val="left"/>
      </w:pPr>
      <w:rPr>
        <w:rFonts w:hint="default" w:ascii="Calibri" w:hAnsi="Calibri" w:eastAsia="Calibri" w:cs="Calibri"/>
        <w:color w:val="1A1A2D"/>
        <w:spacing w:val="-1"/>
        <w:w w:val="100"/>
        <w:sz w:val="18"/>
        <w:szCs w:val="18"/>
        <w:lang w:val="es-ES" w:eastAsia="es-ES" w:bidi="es-ES"/>
      </w:rPr>
    </w:lvl>
    <w:lvl w:ilvl="1">
      <w:start w:val="0"/>
      <w:numFmt w:val="bullet"/>
      <w:lvlText w:val="•"/>
      <w:lvlJc w:val="left"/>
      <w:pPr>
        <w:ind w:left="1996" w:hanging="178"/>
      </w:pPr>
      <w:rPr>
        <w:rFonts w:hint="default"/>
        <w:lang w:val="es-ES" w:eastAsia="es-ES" w:bidi="es-ES"/>
      </w:rPr>
    </w:lvl>
    <w:lvl w:ilvl="2">
      <w:start w:val="0"/>
      <w:numFmt w:val="bullet"/>
      <w:lvlText w:val="•"/>
      <w:lvlJc w:val="left"/>
      <w:pPr>
        <w:ind w:left="3013" w:hanging="178"/>
      </w:pPr>
      <w:rPr>
        <w:rFonts w:hint="default"/>
        <w:lang w:val="es-ES" w:eastAsia="es-ES" w:bidi="es-ES"/>
      </w:rPr>
    </w:lvl>
    <w:lvl w:ilvl="3">
      <w:start w:val="0"/>
      <w:numFmt w:val="bullet"/>
      <w:lvlText w:val="•"/>
      <w:lvlJc w:val="left"/>
      <w:pPr>
        <w:ind w:left="4029" w:hanging="178"/>
      </w:pPr>
      <w:rPr>
        <w:rFonts w:hint="default"/>
        <w:lang w:val="es-ES" w:eastAsia="es-ES" w:bidi="es-ES"/>
      </w:rPr>
    </w:lvl>
    <w:lvl w:ilvl="4">
      <w:start w:val="0"/>
      <w:numFmt w:val="bullet"/>
      <w:lvlText w:val="•"/>
      <w:lvlJc w:val="left"/>
      <w:pPr>
        <w:ind w:left="5046" w:hanging="178"/>
      </w:pPr>
      <w:rPr>
        <w:rFonts w:hint="default"/>
        <w:lang w:val="es-ES" w:eastAsia="es-ES" w:bidi="es-ES"/>
      </w:rPr>
    </w:lvl>
    <w:lvl w:ilvl="5">
      <w:start w:val="0"/>
      <w:numFmt w:val="bullet"/>
      <w:lvlText w:val="•"/>
      <w:lvlJc w:val="left"/>
      <w:pPr>
        <w:ind w:left="6063" w:hanging="178"/>
      </w:pPr>
      <w:rPr>
        <w:rFonts w:hint="default"/>
        <w:lang w:val="es-ES" w:eastAsia="es-ES" w:bidi="es-ES"/>
      </w:rPr>
    </w:lvl>
    <w:lvl w:ilvl="6">
      <w:start w:val="0"/>
      <w:numFmt w:val="bullet"/>
      <w:lvlText w:val="•"/>
      <w:lvlJc w:val="left"/>
      <w:pPr>
        <w:ind w:left="7079" w:hanging="178"/>
      </w:pPr>
      <w:rPr>
        <w:rFonts w:hint="default"/>
        <w:lang w:val="es-ES" w:eastAsia="es-ES" w:bidi="es-ES"/>
      </w:rPr>
    </w:lvl>
    <w:lvl w:ilvl="7">
      <w:start w:val="0"/>
      <w:numFmt w:val="bullet"/>
      <w:lvlText w:val="•"/>
      <w:lvlJc w:val="left"/>
      <w:pPr>
        <w:ind w:left="8096" w:hanging="178"/>
      </w:pPr>
      <w:rPr>
        <w:rFonts w:hint="default"/>
        <w:lang w:val="es-ES" w:eastAsia="es-ES" w:bidi="es-ES"/>
      </w:rPr>
    </w:lvl>
    <w:lvl w:ilvl="8">
      <w:start w:val="0"/>
      <w:numFmt w:val="bullet"/>
      <w:lvlText w:val="•"/>
      <w:lvlJc w:val="left"/>
      <w:pPr>
        <w:ind w:left="9113" w:hanging="178"/>
      </w:pPr>
      <w:rPr>
        <w:rFonts w:hint="default"/>
        <w:lang w:val="es-ES" w:eastAsia="es-ES" w:bidi="es-ES"/>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s-ES" w:eastAsia="es-ES" w:bidi="es-ES"/>
    </w:rPr>
  </w:style>
  <w:style w:styleId="BodyText" w:type="paragraph">
    <w:name w:val="Body Text"/>
    <w:basedOn w:val="Normal"/>
    <w:uiPriority w:val="1"/>
    <w:qFormat/>
    <w:pPr/>
    <w:rPr>
      <w:rFonts w:ascii="Calibri" w:hAnsi="Calibri" w:eastAsia="Calibri" w:cs="Calibri"/>
      <w:b/>
      <w:bCs/>
      <w:sz w:val="22"/>
      <w:szCs w:val="22"/>
      <w:lang w:val="es-ES" w:eastAsia="es-ES" w:bidi="es-ES"/>
    </w:rPr>
  </w:style>
  <w:style w:styleId="Heading1" w:type="paragraph">
    <w:name w:val="Heading 1"/>
    <w:basedOn w:val="Normal"/>
    <w:uiPriority w:val="1"/>
    <w:qFormat/>
    <w:pPr>
      <w:spacing w:before="182"/>
      <w:ind w:left="1104" w:hanging="313"/>
      <w:outlineLvl w:val="1"/>
    </w:pPr>
    <w:rPr>
      <w:rFonts w:ascii="Calibri Light" w:hAnsi="Calibri Light" w:eastAsia="Calibri Light" w:cs="Calibri Light"/>
      <w:sz w:val="32"/>
      <w:szCs w:val="32"/>
      <w:lang w:val="es-ES" w:eastAsia="es-ES" w:bidi="es-ES"/>
    </w:rPr>
  </w:style>
  <w:style w:styleId="Heading2" w:type="paragraph">
    <w:name w:val="Heading 2"/>
    <w:basedOn w:val="Normal"/>
    <w:uiPriority w:val="1"/>
    <w:qFormat/>
    <w:pPr>
      <w:spacing w:before="37"/>
      <w:ind w:left="1341" w:right="988"/>
      <w:jc w:val="center"/>
      <w:outlineLvl w:val="2"/>
    </w:pPr>
    <w:rPr>
      <w:rFonts w:ascii="Calibri" w:hAnsi="Calibri" w:eastAsia="Calibri" w:cs="Calibri"/>
      <w:b/>
      <w:bCs/>
      <w:sz w:val="26"/>
      <w:szCs w:val="26"/>
      <w:lang w:val="es-ES" w:eastAsia="es-ES" w:bidi="es-ES"/>
    </w:rPr>
  </w:style>
  <w:style w:styleId="ListParagraph" w:type="paragraph">
    <w:name w:val="List Paragraph"/>
    <w:basedOn w:val="Normal"/>
    <w:uiPriority w:val="1"/>
    <w:qFormat/>
    <w:pPr>
      <w:spacing w:before="56"/>
      <w:ind w:left="970" w:hanging="313"/>
    </w:pPr>
    <w:rPr>
      <w:rFonts w:ascii="Calibri" w:hAnsi="Calibri" w:eastAsia="Calibri" w:cs="Calibri"/>
      <w:lang w:val="es-ES" w:eastAsia="es-ES" w:bidi="es-ES"/>
    </w:rPr>
  </w:style>
  <w:style w:styleId="TableParagraph" w:type="paragraph">
    <w:name w:val="Table Paragraph"/>
    <w:basedOn w:val="Normal"/>
    <w:uiPriority w:val="1"/>
    <w:qFormat/>
    <w:pPr>
      <w:ind w:left="131"/>
    </w:pPr>
    <w:rPr>
      <w:rFonts w:ascii="Calibri" w:hAnsi="Calibri" w:eastAsia="Calibri" w:cs="Calibri"/>
      <w:lang w:val="es-ES" w:eastAsia="es-ES" w:bidi="es-E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mailto:gerencia@fucas.org" TargetMode="External"/><Relationship Id="rId7" Type="http://schemas.openxmlformats.org/officeDocument/2006/relationships/hyperlink" Target="mailto:-areajuridicasg@fucas.org" TargetMode="External"/><Relationship Id="rId8" Type="http://schemas.openxmlformats.org/officeDocument/2006/relationships/hyperlink" Target="http://www.fucas.org/" TargetMode="External"/><Relationship Id="rId9" Type="http://schemas.openxmlformats.org/officeDocument/2006/relationships/hyperlink" Target="mailto:areajuridicasg@fucas.org" TargetMode="External"/><Relationship Id="rId10" Type="http://schemas.openxmlformats.org/officeDocument/2006/relationships/image" Target="media/image2.jpeg"/><Relationship Id="rId11" Type="http://schemas.openxmlformats.org/officeDocument/2006/relationships/image" Target="media/image3.jpeg"/><Relationship Id="rId12" Type="http://schemas.openxmlformats.org/officeDocument/2006/relationships/image" Target="media/image4.jpeg"/><Relationship Id="rId13" Type="http://schemas.openxmlformats.org/officeDocument/2006/relationships/image" Target="media/image5.jpeg"/><Relationship Id="rId14" Type="http://schemas.openxmlformats.org/officeDocument/2006/relationships/image" Target="media/image6.png"/><Relationship Id="rId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abogadapc</dc:creator>
  <dcterms:created xsi:type="dcterms:W3CDTF">2026-09-29T10:40:16Z</dcterms:created>
  <dcterms:modified xsi:type="dcterms:W3CDTF">2026-09-29T10:40:16Z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2026-09-01T00:00:00Z</vt:filetime>
  </property>
  <property fmtid="{D5CDD505-2E9C-101B-9397-08002B2CF9AE}" pid="3" name="Creator">
    <vt:lpwstr>Microsoft® Word para Microsoft 365</vt:lpwstr>
  </property>
  <property fmtid="{D5CDD505-2E9C-101B-9397-08002B2CF9AE}" pid="4" name="LastSaved">
    <vt:filetime>2026-09-29T00:00:00Z</vt:filetime>
  </property>
</Properties>
</file>