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80"/>
        <w:ind w:left="153"/>
      </w:pPr>
      <w:r>
        <w:rPr/>
        <w:t>DETALLE DEL PRESUPUESTO DE GASTOS E INGRESOS DE LA FUNDACIÓN TUTELAR CANARIA PARA LA ACCIÓN SOCIAL, MP</w:t>
      </w:r>
    </w:p>
    <w:p>
      <w:pPr>
        <w:spacing w:line="240" w:lineRule="auto" w:before="4" w:after="0"/>
        <w:rPr>
          <w:b/>
          <w:sz w:val="29"/>
        </w:rPr>
      </w:pPr>
    </w:p>
    <w:tbl>
      <w:tblPr>
        <w:tblW w:w="0" w:type="auto"/>
        <w:jc w:val="left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63"/>
        <w:gridCol w:w="1258"/>
        <w:gridCol w:w="684"/>
      </w:tblGrid>
      <w:tr>
        <w:trPr>
          <w:trHeight w:val="157" w:hRule="atLeast"/>
        </w:trPr>
        <w:tc>
          <w:tcPr>
            <w:tcW w:w="7663" w:type="dxa"/>
          </w:tcPr>
          <w:p>
            <w:pPr>
              <w:pStyle w:val="TableParagraph"/>
              <w:ind w:left="3441" w:right="3423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GASTOS</w:t>
            </w:r>
          </w:p>
        </w:tc>
        <w:tc>
          <w:tcPr>
            <w:tcW w:w="1258" w:type="dxa"/>
          </w:tcPr>
          <w:p>
            <w:pPr>
              <w:pStyle w:val="TableParagraph"/>
              <w:spacing w:line="135" w:lineRule="exact" w:before="2"/>
              <w:ind w:left="454" w:right="436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2026</w:t>
            </w:r>
          </w:p>
        </w:tc>
        <w:tc>
          <w:tcPr>
            <w:tcW w:w="684" w:type="dxa"/>
          </w:tcPr>
          <w:p>
            <w:pPr>
              <w:pStyle w:val="TableParagraph"/>
              <w:spacing w:line="135" w:lineRule="exact" w:before="2"/>
              <w:ind w:left="19"/>
              <w:jc w:val="center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%</w:t>
            </w:r>
          </w:p>
        </w:tc>
      </w:tr>
      <w:tr>
        <w:trPr>
          <w:trHeight w:val="157" w:hRule="atLeast"/>
        </w:trPr>
        <w:tc>
          <w:tcPr>
            <w:tcW w:w="7663" w:type="dxa"/>
          </w:tcPr>
          <w:p>
            <w:pPr>
              <w:pStyle w:val="TableParagraph"/>
              <w:ind w:left="28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A) De Personal:</w:t>
            </w:r>
          </w:p>
        </w:tc>
        <w:tc>
          <w:tcPr>
            <w:tcW w:w="1258" w:type="dxa"/>
          </w:tcPr>
          <w:p>
            <w:pPr>
              <w:pStyle w:val="TableParagraph"/>
              <w:ind w:right="11"/>
              <w:rPr>
                <w:b/>
                <w:sz w:val="14"/>
              </w:rPr>
            </w:pPr>
            <w:r>
              <w:rPr>
                <w:b/>
                <w:sz w:val="14"/>
              </w:rPr>
              <w:t>6.797.654,16 €</w:t>
            </w:r>
          </w:p>
        </w:tc>
        <w:tc>
          <w:tcPr>
            <w:tcW w:w="684" w:type="dxa"/>
          </w:tcPr>
          <w:p>
            <w:pPr>
              <w:pStyle w:val="TableParagraph"/>
              <w:ind w:right="11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58,25%</w:t>
            </w:r>
          </w:p>
        </w:tc>
      </w:tr>
      <w:tr>
        <w:trPr>
          <w:trHeight w:val="157" w:hRule="atLeast"/>
        </w:trPr>
        <w:tc>
          <w:tcPr>
            <w:tcW w:w="7663" w:type="dxa"/>
          </w:tcPr>
          <w:p>
            <w:pPr>
              <w:pStyle w:val="TableParagraph"/>
              <w:ind w:left="28"/>
              <w:jc w:val="left"/>
              <w:rPr>
                <w:sz w:val="14"/>
              </w:rPr>
            </w:pPr>
            <w:r>
              <w:rPr>
                <w:sz w:val="14"/>
              </w:rPr>
              <w:t>1. Gestión y Mantenimiento Fundación Tutelar Canaria para la Acción Social MP</w:t>
            </w:r>
          </w:p>
        </w:tc>
        <w:tc>
          <w:tcPr>
            <w:tcW w:w="1258" w:type="dxa"/>
          </w:tcPr>
          <w:p>
            <w:pPr>
              <w:pStyle w:val="TableParagraph"/>
              <w:spacing w:line="137" w:lineRule="exact"/>
              <w:ind w:right="6"/>
              <w:rPr>
                <w:sz w:val="14"/>
              </w:rPr>
            </w:pPr>
            <w:r>
              <w:rPr>
                <w:sz w:val="14"/>
              </w:rPr>
              <w:t>528.292,36 €</w:t>
            </w:r>
          </w:p>
        </w:tc>
        <w:tc>
          <w:tcPr>
            <w:tcW w:w="684" w:type="dxa"/>
          </w:tcPr>
          <w:p>
            <w:pPr>
              <w:pStyle w:val="TableParagraph"/>
              <w:ind w:right="13"/>
              <w:rPr>
                <w:sz w:val="14"/>
              </w:rPr>
            </w:pPr>
            <w:r>
              <w:rPr>
                <w:w w:val="95"/>
                <w:sz w:val="14"/>
              </w:rPr>
              <w:t>4,53%</w:t>
            </w:r>
          </w:p>
        </w:tc>
      </w:tr>
      <w:tr>
        <w:trPr>
          <w:trHeight w:val="179" w:hRule="atLeast"/>
        </w:trPr>
        <w:tc>
          <w:tcPr>
            <w:tcW w:w="7663" w:type="dxa"/>
          </w:tcPr>
          <w:p>
            <w:pPr>
              <w:pStyle w:val="TableParagraph"/>
              <w:spacing w:line="142" w:lineRule="exact" w:before="17"/>
              <w:ind w:left="28"/>
              <w:jc w:val="left"/>
              <w:rPr>
                <w:sz w:val="14"/>
              </w:rPr>
            </w:pPr>
            <w:r>
              <w:rPr>
                <w:sz w:val="14"/>
              </w:rPr>
              <w:t>2. Centro Privado de Educación Especial Concertado la Casita</w:t>
            </w:r>
          </w:p>
        </w:tc>
        <w:tc>
          <w:tcPr>
            <w:tcW w:w="1258" w:type="dxa"/>
          </w:tcPr>
          <w:p>
            <w:pPr>
              <w:pStyle w:val="TableParagraph"/>
              <w:spacing w:line="149" w:lineRule="exact" w:before="10"/>
              <w:ind w:right="6"/>
              <w:rPr>
                <w:sz w:val="14"/>
              </w:rPr>
            </w:pPr>
            <w:r>
              <w:rPr>
                <w:sz w:val="14"/>
              </w:rPr>
              <w:t>635.162,90 €</w:t>
            </w:r>
          </w:p>
        </w:tc>
        <w:tc>
          <w:tcPr>
            <w:tcW w:w="684" w:type="dxa"/>
          </w:tcPr>
          <w:p>
            <w:pPr>
              <w:pStyle w:val="TableParagraph"/>
              <w:spacing w:line="142" w:lineRule="exact" w:before="17"/>
              <w:ind w:right="13"/>
              <w:rPr>
                <w:sz w:val="14"/>
              </w:rPr>
            </w:pPr>
            <w:r>
              <w:rPr>
                <w:w w:val="95"/>
                <w:sz w:val="14"/>
              </w:rPr>
              <w:t>5,44%</w:t>
            </w:r>
          </w:p>
        </w:tc>
      </w:tr>
      <w:tr>
        <w:trPr>
          <w:trHeight w:val="337" w:hRule="atLeast"/>
        </w:trPr>
        <w:tc>
          <w:tcPr>
            <w:tcW w:w="7663" w:type="dxa"/>
          </w:tcPr>
          <w:p>
            <w:pPr>
              <w:pStyle w:val="TableParagraph"/>
              <w:spacing w:line="240" w:lineRule="auto"/>
              <w:ind w:left="28"/>
              <w:jc w:val="left"/>
              <w:rPr>
                <w:sz w:val="14"/>
              </w:rPr>
            </w:pPr>
            <w:r>
              <w:rPr>
                <w:sz w:val="14"/>
              </w:rPr>
              <w:t>3. Centro de Adultos Hermano Pedro (Residencia y Centro de Día para Personas en Situación de Dependencia por</w:t>
            </w:r>
          </w:p>
          <w:p>
            <w:pPr>
              <w:pStyle w:val="TableParagraph"/>
              <w:spacing w:line="145" w:lineRule="exact" w:before="12"/>
              <w:ind w:left="28"/>
              <w:jc w:val="left"/>
              <w:rPr>
                <w:sz w:val="14"/>
              </w:rPr>
            </w:pPr>
            <w:r>
              <w:rPr>
                <w:sz w:val="14"/>
              </w:rPr>
              <w:t>Discapacidad Intelectual)</w:t>
            </w:r>
          </w:p>
        </w:tc>
        <w:tc>
          <w:tcPr>
            <w:tcW w:w="1258" w:type="dxa"/>
          </w:tcPr>
          <w:p>
            <w:pPr>
              <w:pStyle w:val="TableParagraph"/>
              <w:spacing w:line="240" w:lineRule="auto" w:before="89"/>
              <w:ind w:right="6"/>
              <w:rPr>
                <w:sz w:val="14"/>
              </w:rPr>
            </w:pPr>
            <w:r>
              <w:rPr>
                <w:sz w:val="14"/>
              </w:rPr>
              <w:t>140.344,50 €</w:t>
            </w:r>
          </w:p>
        </w:tc>
        <w:tc>
          <w:tcPr>
            <w:tcW w:w="684" w:type="dxa"/>
          </w:tcPr>
          <w:p>
            <w:pPr>
              <w:pStyle w:val="TableParagraph"/>
              <w:spacing w:line="240" w:lineRule="auto" w:before="86"/>
              <w:ind w:right="13"/>
              <w:rPr>
                <w:sz w:val="14"/>
              </w:rPr>
            </w:pPr>
            <w:r>
              <w:rPr>
                <w:w w:val="95"/>
                <w:sz w:val="14"/>
              </w:rPr>
              <w:t>1,20%</w:t>
            </w:r>
          </w:p>
        </w:tc>
      </w:tr>
      <w:tr>
        <w:trPr>
          <w:trHeight w:val="157" w:hRule="atLeast"/>
        </w:trPr>
        <w:tc>
          <w:tcPr>
            <w:tcW w:w="7663" w:type="dxa"/>
          </w:tcPr>
          <w:p>
            <w:pPr>
              <w:pStyle w:val="TableParagraph"/>
              <w:spacing w:line="137" w:lineRule="exact"/>
              <w:ind w:left="28"/>
              <w:jc w:val="left"/>
              <w:rPr>
                <w:sz w:val="14"/>
              </w:rPr>
            </w:pPr>
            <w:r>
              <w:rPr>
                <w:sz w:val="14"/>
              </w:rPr>
              <w:t>4. Centro de Día para Personas en Situación de Dependencia por Discapacidad Física Los Ruiseñores</w:t>
            </w:r>
          </w:p>
        </w:tc>
        <w:tc>
          <w:tcPr>
            <w:tcW w:w="1258" w:type="dxa"/>
          </w:tcPr>
          <w:p>
            <w:pPr>
              <w:pStyle w:val="TableParagraph"/>
              <w:spacing w:line="137" w:lineRule="exact"/>
              <w:ind w:right="6"/>
              <w:rPr>
                <w:sz w:val="14"/>
              </w:rPr>
            </w:pPr>
            <w:r>
              <w:rPr>
                <w:sz w:val="14"/>
              </w:rPr>
              <w:t>80.138,74 €</w:t>
            </w:r>
          </w:p>
        </w:tc>
        <w:tc>
          <w:tcPr>
            <w:tcW w:w="684" w:type="dxa"/>
          </w:tcPr>
          <w:p>
            <w:pPr>
              <w:pStyle w:val="TableParagraph"/>
              <w:ind w:right="13"/>
              <w:rPr>
                <w:sz w:val="14"/>
              </w:rPr>
            </w:pPr>
            <w:r>
              <w:rPr>
                <w:w w:val="95"/>
                <w:sz w:val="14"/>
              </w:rPr>
              <w:t>0,69%</w:t>
            </w:r>
          </w:p>
        </w:tc>
      </w:tr>
      <w:tr>
        <w:trPr>
          <w:trHeight w:val="157" w:hRule="atLeast"/>
        </w:trPr>
        <w:tc>
          <w:tcPr>
            <w:tcW w:w="7663" w:type="dxa"/>
          </w:tcPr>
          <w:p>
            <w:pPr>
              <w:pStyle w:val="TableParagraph"/>
              <w:spacing w:line="137" w:lineRule="exact"/>
              <w:ind w:left="28"/>
              <w:jc w:val="left"/>
              <w:rPr>
                <w:sz w:val="14"/>
              </w:rPr>
            </w:pPr>
            <w:r>
              <w:rPr>
                <w:sz w:val="14"/>
              </w:rPr>
              <w:t>5. Encargo Gestión del Centro de Día para Personas Mayores de Marzagán</w:t>
            </w:r>
          </w:p>
        </w:tc>
        <w:tc>
          <w:tcPr>
            <w:tcW w:w="1258" w:type="dxa"/>
          </w:tcPr>
          <w:p>
            <w:pPr>
              <w:pStyle w:val="TableParagraph"/>
              <w:spacing w:line="137" w:lineRule="exact"/>
              <w:ind w:right="6"/>
              <w:rPr>
                <w:sz w:val="14"/>
              </w:rPr>
            </w:pPr>
            <w:r>
              <w:rPr>
                <w:sz w:val="14"/>
              </w:rPr>
              <w:t>90.942,99 €</w:t>
            </w:r>
          </w:p>
        </w:tc>
        <w:tc>
          <w:tcPr>
            <w:tcW w:w="684" w:type="dxa"/>
          </w:tcPr>
          <w:p>
            <w:pPr>
              <w:pStyle w:val="TableParagraph"/>
              <w:ind w:right="13"/>
              <w:rPr>
                <w:sz w:val="14"/>
              </w:rPr>
            </w:pPr>
            <w:r>
              <w:rPr>
                <w:w w:val="95"/>
                <w:sz w:val="14"/>
              </w:rPr>
              <w:t>0,78%</w:t>
            </w:r>
          </w:p>
        </w:tc>
      </w:tr>
      <w:tr>
        <w:trPr>
          <w:trHeight w:val="157" w:hRule="atLeast"/>
        </w:trPr>
        <w:tc>
          <w:tcPr>
            <w:tcW w:w="7663" w:type="dxa"/>
          </w:tcPr>
          <w:p>
            <w:pPr>
              <w:pStyle w:val="TableParagraph"/>
              <w:spacing w:line="137" w:lineRule="exact"/>
              <w:ind w:left="28"/>
              <w:jc w:val="left"/>
              <w:rPr>
                <w:sz w:val="14"/>
              </w:rPr>
            </w:pPr>
            <w:r>
              <w:rPr>
                <w:sz w:val="14"/>
              </w:rPr>
              <w:t>6. Encargo Servicio de Gestión de Medidas de Apoyo a Personas Curateladas</w:t>
            </w:r>
          </w:p>
        </w:tc>
        <w:tc>
          <w:tcPr>
            <w:tcW w:w="1258" w:type="dxa"/>
          </w:tcPr>
          <w:p>
            <w:pPr>
              <w:pStyle w:val="TableParagraph"/>
              <w:spacing w:line="137" w:lineRule="exact"/>
              <w:ind w:right="6"/>
              <w:rPr>
                <w:sz w:val="14"/>
              </w:rPr>
            </w:pPr>
            <w:r>
              <w:rPr>
                <w:sz w:val="14"/>
              </w:rPr>
              <w:t>3.298.576,69 €</w:t>
            </w:r>
          </w:p>
        </w:tc>
        <w:tc>
          <w:tcPr>
            <w:tcW w:w="684" w:type="dxa"/>
          </w:tcPr>
          <w:p>
            <w:pPr>
              <w:pStyle w:val="TableParagraph"/>
              <w:ind w:right="13"/>
              <w:rPr>
                <w:sz w:val="14"/>
              </w:rPr>
            </w:pPr>
            <w:r>
              <w:rPr>
                <w:w w:val="95"/>
                <w:sz w:val="14"/>
              </w:rPr>
              <w:t>28,27%</w:t>
            </w:r>
          </w:p>
        </w:tc>
      </w:tr>
      <w:tr>
        <w:trPr>
          <w:trHeight w:val="155" w:hRule="atLeast"/>
        </w:trPr>
        <w:tc>
          <w:tcPr>
            <w:tcW w:w="7663" w:type="dxa"/>
          </w:tcPr>
          <w:p>
            <w:pPr>
              <w:pStyle w:val="TableParagraph"/>
              <w:spacing w:line="135" w:lineRule="exact"/>
              <w:ind w:left="28"/>
              <w:jc w:val="left"/>
              <w:rPr>
                <w:sz w:val="14"/>
              </w:rPr>
            </w:pPr>
            <w:r>
              <w:rPr>
                <w:sz w:val="14"/>
              </w:rPr>
              <w:t>7. Encargo Servicio de Gestión de la Tramitación de los Títulos de Familia Numerosa</w:t>
            </w:r>
          </w:p>
        </w:tc>
        <w:tc>
          <w:tcPr>
            <w:tcW w:w="1258" w:type="dxa"/>
          </w:tcPr>
          <w:p>
            <w:pPr>
              <w:pStyle w:val="TableParagraph"/>
              <w:spacing w:line="135" w:lineRule="exact"/>
              <w:ind w:right="6"/>
              <w:rPr>
                <w:sz w:val="14"/>
              </w:rPr>
            </w:pPr>
            <w:r>
              <w:rPr>
                <w:sz w:val="14"/>
              </w:rPr>
              <w:t>98.712,87 €</w:t>
            </w:r>
          </w:p>
        </w:tc>
        <w:tc>
          <w:tcPr>
            <w:tcW w:w="684" w:type="dxa"/>
          </w:tcPr>
          <w:p>
            <w:pPr>
              <w:pStyle w:val="TableParagraph"/>
              <w:spacing w:line="135" w:lineRule="exact"/>
              <w:ind w:right="13"/>
              <w:rPr>
                <w:sz w:val="14"/>
              </w:rPr>
            </w:pPr>
            <w:r>
              <w:rPr>
                <w:w w:val="95"/>
                <w:sz w:val="14"/>
              </w:rPr>
              <w:t>0,85%</w:t>
            </w:r>
          </w:p>
        </w:tc>
      </w:tr>
      <w:tr>
        <w:trPr>
          <w:trHeight w:val="299" w:hRule="atLeast"/>
        </w:trPr>
        <w:tc>
          <w:tcPr>
            <w:tcW w:w="7663" w:type="dxa"/>
          </w:tcPr>
          <w:p>
            <w:pPr>
              <w:pStyle w:val="TableParagraph"/>
              <w:spacing w:line="240" w:lineRule="auto"/>
              <w:ind w:left="28"/>
              <w:jc w:val="left"/>
              <w:rPr>
                <w:sz w:val="14"/>
              </w:rPr>
            </w:pPr>
            <w:r>
              <w:rPr>
                <w:sz w:val="14"/>
              </w:rPr>
              <w:t>8. Encargo Servicio de Elaboración de la Propuestas del Programa Individual de Atención para Personas Solicitantes que</w:t>
            </w:r>
          </w:p>
          <w:p>
            <w:pPr>
              <w:pStyle w:val="TableParagraph"/>
              <w:spacing w:line="106" w:lineRule="exact" w:before="12"/>
              <w:ind w:left="28"/>
              <w:jc w:val="left"/>
              <w:rPr>
                <w:sz w:val="14"/>
              </w:rPr>
            </w:pPr>
            <w:r>
              <w:rPr>
                <w:sz w:val="14"/>
              </w:rPr>
              <w:t>cuenten con Grado de Dependencia Reconocido</w:t>
            </w:r>
          </w:p>
        </w:tc>
        <w:tc>
          <w:tcPr>
            <w:tcW w:w="1258" w:type="dxa"/>
          </w:tcPr>
          <w:p>
            <w:pPr>
              <w:pStyle w:val="TableParagraph"/>
              <w:spacing w:line="240" w:lineRule="auto" w:before="70"/>
              <w:ind w:right="6"/>
              <w:rPr>
                <w:sz w:val="14"/>
              </w:rPr>
            </w:pPr>
            <w:r>
              <w:rPr>
                <w:sz w:val="14"/>
              </w:rPr>
              <w:t>1.147.835,90 €</w:t>
            </w:r>
          </w:p>
        </w:tc>
        <w:tc>
          <w:tcPr>
            <w:tcW w:w="684" w:type="dxa"/>
          </w:tcPr>
          <w:p>
            <w:pPr>
              <w:pStyle w:val="TableParagraph"/>
              <w:spacing w:line="240" w:lineRule="auto" w:before="67"/>
              <w:ind w:right="13"/>
              <w:rPr>
                <w:sz w:val="14"/>
              </w:rPr>
            </w:pPr>
            <w:r>
              <w:rPr>
                <w:w w:val="95"/>
                <w:sz w:val="14"/>
              </w:rPr>
              <w:t>9,84%</w:t>
            </w:r>
          </w:p>
        </w:tc>
      </w:tr>
      <w:tr>
        <w:trPr>
          <w:trHeight w:val="157" w:hRule="atLeast"/>
        </w:trPr>
        <w:tc>
          <w:tcPr>
            <w:tcW w:w="7663" w:type="dxa"/>
          </w:tcPr>
          <w:p>
            <w:pPr>
              <w:pStyle w:val="TableParagraph"/>
              <w:spacing w:line="137" w:lineRule="exact"/>
              <w:ind w:left="28"/>
              <w:jc w:val="left"/>
              <w:rPr>
                <w:sz w:val="14"/>
              </w:rPr>
            </w:pPr>
            <w:r>
              <w:rPr>
                <w:sz w:val="14"/>
              </w:rPr>
              <w:t>9. Encargo Bicácaro, Programa para la Igualdad y Diversidad de los Centros Educativos</w:t>
            </w:r>
          </w:p>
        </w:tc>
        <w:tc>
          <w:tcPr>
            <w:tcW w:w="1258" w:type="dxa"/>
          </w:tcPr>
          <w:p>
            <w:pPr>
              <w:pStyle w:val="TableParagraph"/>
              <w:spacing w:line="137" w:lineRule="exact"/>
              <w:ind w:right="6"/>
              <w:rPr>
                <w:sz w:val="14"/>
              </w:rPr>
            </w:pPr>
            <w:r>
              <w:rPr>
                <w:sz w:val="14"/>
              </w:rPr>
              <w:t>32.450,73 €</w:t>
            </w:r>
          </w:p>
        </w:tc>
        <w:tc>
          <w:tcPr>
            <w:tcW w:w="684" w:type="dxa"/>
          </w:tcPr>
          <w:p>
            <w:pPr>
              <w:pStyle w:val="TableParagraph"/>
              <w:ind w:right="13"/>
              <w:rPr>
                <w:sz w:val="14"/>
              </w:rPr>
            </w:pPr>
            <w:r>
              <w:rPr>
                <w:w w:val="95"/>
                <w:sz w:val="14"/>
              </w:rPr>
              <w:t>0,28%</w:t>
            </w:r>
          </w:p>
        </w:tc>
      </w:tr>
      <w:tr>
        <w:trPr>
          <w:trHeight w:val="157" w:hRule="atLeast"/>
        </w:trPr>
        <w:tc>
          <w:tcPr>
            <w:tcW w:w="7663" w:type="dxa"/>
          </w:tcPr>
          <w:p>
            <w:pPr>
              <w:pStyle w:val="TableParagraph"/>
              <w:spacing w:line="137" w:lineRule="exact"/>
              <w:ind w:left="28"/>
              <w:jc w:val="left"/>
              <w:rPr>
                <w:sz w:val="14"/>
              </w:rPr>
            </w:pPr>
            <w:r>
              <w:rPr>
                <w:sz w:val="14"/>
              </w:rPr>
              <w:t>10. Encargo Valoración Discapacidad</w:t>
            </w:r>
          </w:p>
        </w:tc>
        <w:tc>
          <w:tcPr>
            <w:tcW w:w="1258" w:type="dxa"/>
          </w:tcPr>
          <w:p>
            <w:pPr>
              <w:pStyle w:val="TableParagraph"/>
              <w:spacing w:line="137" w:lineRule="exact"/>
              <w:ind w:right="6"/>
              <w:rPr>
                <w:sz w:val="14"/>
              </w:rPr>
            </w:pPr>
            <w:r>
              <w:rPr>
                <w:sz w:val="14"/>
              </w:rPr>
              <w:t>745.196,49 €</w:t>
            </w:r>
          </w:p>
        </w:tc>
        <w:tc>
          <w:tcPr>
            <w:tcW w:w="684" w:type="dxa"/>
          </w:tcPr>
          <w:p>
            <w:pPr>
              <w:pStyle w:val="TableParagraph"/>
              <w:ind w:right="13"/>
              <w:rPr>
                <w:sz w:val="14"/>
              </w:rPr>
            </w:pPr>
            <w:r>
              <w:rPr>
                <w:w w:val="95"/>
                <w:sz w:val="14"/>
              </w:rPr>
              <w:t>6,39%</w:t>
            </w:r>
          </w:p>
        </w:tc>
      </w:tr>
      <w:tr>
        <w:trPr>
          <w:trHeight w:val="157" w:hRule="atLeast"/>
        </w:trPr>
        <w:tc>
          <w:tcPr>
            <w:tcW w:w="7663" w:type="dxa"/>
          </w:tcPr>
          <w:p>
            <w:pPr>
              <w:pStyle w:val="TableParagraph"/>
              <w:ind w:left="28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B) Compra de Bienes y Servicios:</w:t>
            </w:r>
          </w:p>
        </w:tc>
        <w:tc>
          <w:tcPr>
            <w:tcW w:w="1258" w:type="dxa"/>
          </w:tcPr>
          <w:p>
            <w:pPr>
              <w:pStyle w:val="TableParagraph"/>
              <w:ind w:right="11"/>
              <w:rPr>
                <w:b/>
                <w:sz w:val="14"/>
              </w:rPr>
            </w:pPr>
            <w:r>
              <w:rPr>
                <w:b/>
                <w:sz w:val="14"/>
              </w:rPr>
              <w:t>4.537.558,36 €</w:t>
            </w:r>
          </w:p>
        </w:tc>
        <w:tc>
          <w:tcPr>
            <w:tcW w:w="684" w:type="dxa"/>
          </w:tcPr>
          <w:p>
            <w:pPr>
              <w:pStyle w:val="TableParagraph"/>
              <w:ind w:right="11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38,88%</w:t>
            </w:r>
          </w:p>
        </w:tc>
      </w:tr>
      <w:tr>
        <w:trPr>
          <w:trHeight w:val="157" w:hRule="atLeast"/>
        </w:trPr>
        <w:tc>
          <w:tcPr>
            <w:tcW w:w="7663" w:type="dxa"/>
          </w:tcPr>
          <w:p>
            <w:pPr>
              <w:pStyle w:val="TableParagraph"/>
              <w:ind w:left="28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B1) De Centros y Programas:</w:t>
            </w:r>
          </w:p>
        </w:tc>
        <w:tc>
          <w:tcPr>
            <w:tcW w:w="1258" w:type="dxa"/>
          </w:tcPr>
          <w:p>
            <w:pPr>
              <w:pStyle w:val="TableParagraph"/>
              <w:ind w:right="11"/>
              <w:rPr>
                <w:b/>
                <w:sz w:val="14"/>
              </w:rPr>
            </w:pPr>
            <w:r>
              <w:rPr>
                <w:b/>
                <w:sz w:val="14"/>
              </w:rPr>
              <w:t>4.461.386,31 €</w:t>
            </w:r>
          </w:p>
        </w:tc>
        <w:tc>
          <w:tcPr>
            <w:tcW w:w="684" w:type="dxa"/>
          </w:tcPr>
          <w:p>
            <w:pPr>
              <w:pStyle w:val="TableParagraph"/>
              <w:ind w:right="11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37,01%</w:t>
            </w:r>
          </w:p>
        </w:tc>
      </w:tr>
      <w:tr>
        <w:trPr>
          <w:trHeight w:val="157" w:hRule="atLeast"/>
        </w:trPr>
        <w:tc>
          <w:tcPr>
            <w:tcW w:w="7663" w:type="dxa"/>
          </w:tcPr>
          <w:p>
            <w:pPr>
              <w:pStyle w:val="TableParagraph"/>
              <w:ind w:left="28"/>
              <w:jc w:val="left"/>
              <w:rPr>
                <w:sz w:val="14"/>
              </w:rPr>
            </w:pPr>
            <w:r>
              <w:rPr>
                <w:sz w:val="14"/>
              </w:rPr>
              <w:t>1. Gestión y Mantenimiento Fundación Tutelar Canaria para la acción social MP</w:t>
            </w:r>
          </w:p>
        </w:tc>
        <w:tc>
          <w:tcPr>
            <w:tcW w:w="1258" w:type="dxa"/>
          </w:tcPr>
          <w:p>
            <w:pPr>
              <w:pStyle w:val="TableParagraph"/>
              <w:spacing w:line="137" w:lineRule="exact"/>
              <w:ind w:right="6"/>
              <w:rPr>
                <w:sz w:val="14"/>
              </w:rPr>
            </w:pPr>
            <w:r>
              <w:rPr>
                <w:sz w:val="14"/>
              </w:rPr>
              <w:t>40.969,91 €</w:t>
            </w:r>
          </w:p>
        </w:tc>
        <w:tc>
          <w:tcPr>
            <w:tcW w:w="684" w:type="dxa"/>
          </w:tcPr>
          <w:p>
            <w:pPr>
              <w:pStyle w:val="TableParagraph"/>
              <w:ind w:right="13"/>
              <w:rPr>
                <w:sz w:val="14"/>
              </w:rPr>
            </w:pPr>
            <w:r>
              <w:rPr>
                <w:w w:val="95"/>
                <w:sz w:val="14"/>
              </w:rPr>
              <w:t>0,35%</w:t>
            </w:r>
          </w:p>
        </w:tc>
      </w:tr>
      <w:tr>
        <w:trPr>
          <w:trHeight w:val="157" w:hRule="atLeast"/>
        </w:trPr>
        <w:tc>
          <w:tcPr>
            <w:tcW w:w="7663" w:type="dxa"/>
          </w:tcPr>
          <w:p>
            <w:pPr>
              <w:pStyle w:val="TableParagraph"/>
              <w:ind w:left="28"/>
              <w:jc w:val="left"/>
              <w:rPr>
                <w:sz w:val="14"/>
              </w:rPr>
            </w:pPr>
            <w:r>
              <w:rPr>
                <w:sz w:val="14"/>
              </w:rPr>
              <w:t>2. Centro Privado de Educación Especial Concertado la Casita</w:t>
            </w:r>
          </w:p>
        </w:tc>
        <w:tc>
          <w:tcPr>
            <w:tcW w:w="1258" w:type="dxa"/>
          </w:tcPr>
          <w:p>
            <w:pPr>
              <w:pStyle w:val="TableParagraph"/>
              <w:spacing w:line="137" w:lineRule="exact"/>
              <w:ind w:right="6"/>
              <w:rPr>
                <w:sz w:val="14"/>
              </w:rPr>
            </w:pPr>
            <w:r>
              <w:rPr>
                <w:sz w:val="14"/>
              </w:rPr>
              <w:t>1.333.890,10 €</w:t>
            </w:r>
          </w:p>
        </w:tc>
        <w:tc>
          <w:tcPr>
            <w:tcW w:w="684" w:type="dxa"/>
          </w:tcPr>
          <w:p>
            <w:pPr>
              <w:pStyle w:val="TableParagraph"/>
              <w:ind w:right="13"/>
              <w:rPr>
                <w:sz w:val="14"/>
              </w:rPr>
            </w:pPr>
            <w:r>
              <w:rPr>
                <w:w w:val="95"/>
                <w:sz w:val="14"/>
              </w:rPr>
              <w:t>11,43%</w:t>
            </w:r>
          </w:p>
        </w:tc>
      </w:tr>
      <w:tr>
        <w:trPr>
          <w:trHeight w:val="331" w:hRule="atLeast"/>
        </w:trPr>
        <w:tc>
          <w:tcPr>
            <w:tcW w:w="7663" w:type="dxa"/>
          </w:tcPr>
          <w:p>
            <w:pPr>
              <w:pStyle w:val="TableParagraph"/>
              <w:spacing w:line="240" w:lineRule="auto"/>
              <w:ind w:left="28"/>
              <w:jc w:val="left"/>
              <w:rPr>
                <w:sz w:val="14"/>
              </w:rPr>
            </w:pPr>
            <w:r>
              <w:rPr>
                <w:sz w:val="14"/>
              </w:rPr>
              <w:t>3. Centro de Adultos Hermano Pedro (Residencia y Centro de Día para Personas en Situación de Dependencia por</w:t>
            </w:r>
          </w:p>
          <w:p>
            <w:pPr>
              <w:pStyle w:val="TableParagraph"/>
              <w:spacing w:line="137" w:lineRule="exact" w:before="12"/>
              <w:ind w:left="28"/>
              <w:jc w:val="left"/>
              <w:rPr>
                <w:sz w:val="14"/>
              </w:rPr>
            </w:pPr>
            <w:r>
              <w:rPr>
                <w:sz w:val="14"/>
              </w:rPr>
              <w:t>Discapacidad Intelectual)</w:t>
            </w:r>
          </w:p>
        </w:tc>
        <w:tc>
          <w:tcPr>
            <w:tcW w:w="1258" w:type="dxa"/>
          </w:tcPr>
          <w:p>
            <w:pPr>
              <w:pStyle w:val="TableParagraph"/>
              <w:spacing w:line="240" w:lineRule="auto" w:before="87"/>
              <w:ind w:right="6"/>
              <w:rPr>
                <w:sz w:val="14"/>
              </w:rPr>
            </w:pPr>
            <w:r>
              <w:rPr>
                <w:sz w:val="14"/>
              </w:rPr>
              <w:t>1.329.824,50 €</w:t>
            </w:r>
          </w:p>
        </w:tc>
        <w:tc>
          <w:tcPr>
            <w:tcW w:w="684" w:type="dxa"/>
          </w:tcPr>
          <w:p>
            <w:pPr>
              <w:pStyle w:val="TableParagraph"/>
              <w:spacing w:line="240" w:lineRule="auto" w:before="85"/>
              <w:ind w:right="13"/>
              <w:rPr>
                <w:sz w:val="14"/>
              </w:rPr>
            </w:pPr>
            <w:r>
              <w:rPr>
                <w:w w:val="95"/>
                <w:sz w:val="14"/>
              </w:rPr>
              <w:t>11,40%</w:t>
            </w:r>
          </w:p>
        </w:tc>
      </w:tr>
      <w:tr>
        <w:trPr>
          <w:trHeight w:val="157" w:hRule="atLeast"/>
        </w:trPr>
        <w:tc>
          <w:tcPr>
            <w:tcW w:w="7663" w:type="dxa"/>
          </w:tcPr>
          <w:p>
            <w:pPr>
              <w:pStyle w:val="TableParagraph"/>
              <w:spacing w:line="137" w:lineRule="exact"/>
              <w:ind w:left="28"/>
              <w:jc w:val="left"/>
              <w:rPr>
                <w:sz w:val="14"/>
              </w:rPr>
            </w:pPr>
            <w:r>
              <w:rPr>
                <w:sz w:val="14"/>
              </w:rPr>
              <w:t>4. Centro de Día para Personas en Situación de Dependencia por Discapacidad Física Los Ruiseñores</w:t>
            </w:r>
          </w:p>
        </w:tc>
        <w:tc>
          <w:tcPr>
            <w:tcW w:w="1258" w:type="dxa"/>
          </w:tcPr>
          <w:p>
            <w:pPr>
              <w:pStyle w:val="TableParagraph"/>
              <w:spacing w:line="137" w:lineRule="exact"/>
              <w:ind w:right="6"/>
              <w:rPr>
                <w:sz w:val="14"/>
              </w:rPr>
            </w:pPr>
            <w:r>
              <w:rPr>
                <w:sz w:val="14"/>
              </w:rPr>
              <w:t>354.119,26 €</w:t>
            </w:r>
          </w:p>
        </w:tc>
        <w:tc>
          <w:tcPr>
            <w:tcW w:w="684" w:type="dxa"/>
          </w:tcPr>
          <w:p>
            <w:pPr>
              <w:pStyle w:val="TableParagraph"/>
              <w:ind w:right="13"/>
              <w:rPr>
                <w:sz w:val="14"/>
              </w:rPr>
            </w:pPr>
            <w:r>
              <w:rPr>
                <w:w w:val="95"/>
                <w:sz w:val="14"/>
              </w:rPr>
              <w:t>3,03%</w:t>
            </w:r>
          </w:p>
        </w:tc>
      </w:tr>
      <w:tr>
        <w:trPr>
          <w:trHeight w:val="157" w:hRule="atLeast"/>
        </w:trPr>
        <w:tc>
          <w:tcPr>
            <w:tcW w:w="7663" w:type="dxa"/>
          </w:tcPr>
          <w:p>
            <w:pPr>
              <w:pStyle w:val="TableParagraph"/>
              <w:spacing w:line="137" w:lineRule="exact"/>
              <w:ind w:left="28"/>
              <w:jc w:val="left"/>
              <w:rPr>
                <w:sz w:val="14"/>
              </w:rPr>
            </w:pPr>
            <w:r>
              <w:rPr>
                <w:sz w:val="14"/>
              </w:rPr>
              <w:t>5. Encargo Gestión del Centro de Día para Personas Mayores de Marzagán</w:t>
            </w:r>
          </w:p>
        </w:tc>
        <w:tc>
          <w:tcPr>
            <w:tcW w:w="1258" w:type="dxa"/>
          </w:tcPr>
          <w:p>
            <w:pPr>
              <w:pStyle w:val="TableParagraph"/>
              <w:spacing w:line="137" w:lineRule="exact"/>
              <w:ind w:right="6"/>
              <w:rPr>
                <w:sz w:val="14"/>
              </w:rPr>
            </w:pPr>
            <w:r>
              <w:rPr>
                <w:sz w:val="14"/>
              </w:rPr>
              <w:t>67.376,92 €</w:t>
            </w:r>
          </w:p>
        </w:tc>
        <w:tc>
          <w:tcPr>
            <w:tcW w:w="684" w:type="dxa"/>
          </w:tcPr>
          <w:p>
            <w:pPr>
              <w:pStyle w:val="TableParagraph"/>
              <w:spacing w:line="137" w:lineRule="exact"/>
              <w:ind w:right="8"/>
              <w:rPr>
                <w:sz w:val="14"/>
              </w:rPr>
            </w:pPr>
            <w:r>
              <w:rPr>
                <w:w w:val="95"/>
                <w:sz w:val="14"/>
              </w:rPr>
              <w:t>0,58%</w:t>
            </w:r>
          </w:p>
        </w:tc>
      </w:tr>
      <w:tr>
        <w:trPr>
          <w:trHeight w:val="155" w:hRule="atLeast"/>
        </w:trPr>
        <w:tc>
          <w:tcPr>
            <w:tcW w:w="7663" w:type="dxa"/>
          </w:tcPr>
          <w:p>
            <w:pPr>
              <w:pStyle w:val="TableParagraph"/>
              <w:spacing w:line="135" w:lineRule="exact"/>
              <w:ind w:left="28"/>
              <w:jc w:val="left"/>
              <w:rPr>
                <w:sz w:val="14"/>
              </w:rPr>
            </w:pPr>
            <w:r>
              <w:rPr>
                <w:sz w:val="14"/>
              </w:rPr>
              <w:t>6. Encargo Servicio de Gestión de Medidas de Apoyo a Personas Curateladas</w:t>
            </w:r>
          </w:p>
        </w:tc>
        <w:tc>
          <w:tcPr>
            <w:tcW w:w="1258" w:type="dxa"/>
          </w:tcPr>
          <w:p>
            <w:pPr>
              <w:pStyle w:val="TableParagraph"/>
              <w:spacing w:line="135" w:lineRule="exact"/>
              <w:ind w:right="6"/>
              <w:rPr>
                <w:sz w:val="14"/>
              </w:rPr>
            </w:pPr>
            <w:r>
              <w:rPr>
                <w:sz w:val="14"/>
              </w:rPr>
              <w:t>798.769,05 €</w:t>
            </w:r>
          </w:p>
        </w:tc>
        <w:tc>
          <w:tcPr>
            <w:tcW w:w="684" w:type="dxa"/>
          </w:tcPr>
          <w:p>
            <w:pPr>
              <w:pStyle w:val="TableParagraph"/>
              <w:spacing w:line="135" w:lineRule="exact"/>
              <w:ind w:right="8"/>
              <w:rPr>
                <w:sz w:val="14"/>
              </w:rPr>
            </w:pPr>
            <w:r>
              <w:rPr>
                <w:w w:val="95"/>
                <w:sz w:val="14"/>
              </w:rPr>
              <w:t>6,84%</w:t>
            </w:r>
          </w:p>
        </w:tc>
      </w:tr>
      <w:tr>
        <w:trPr>
          <w:trHeight w:val="155" w:hRule="atLeast"/>
        </w:trPr>
        <w:tc>
          <w:tcPr>
            <w:tcW w:w="7663" w:type="dxa"/>
          </w:tcPr>
          <w:p>
            <w:pPr>
              <w:pStyle w:val="TableParagraph"/>
              <w:spacing w:line="135" w:lineRule="exact"/>
              <w:ind w:left="28"/>
              <w:jc w:val="left"/>
              <w:rPr>
                <w:sz w:val="14"/>
              </w:rPr>
            </w:pPr>
            <w:r>
              <w:rPr>
                <w:sz w:val="14"/>
              </w:rPr>
              <w:t>7. Encargo Servicio de Gestión de la Tramitación de los Títulos de Familia Numerosa</w:t>
            </w:r>
          </w:p>
        </w:tc>
        <w:tc>
          <w:tcPr>
            <w:tcW w:w="1258" w:type="dxa"/>
          </w:tcPr>
          <w:p>
            <w:pPr>
              <w:pStyle w:val="TableParagraph"/>
              <w:spacing w:line="135" w:lineRule="exact"/>
              <w:ind w:right="6"/>
              <w:rPr>
                <w:sz w:val="14"/>
              </w:rPr>
            </w:pPr>
            <w:r>
              <w:rPr>
                <w:sz w:val="14"/>
              </w:rPr>
              <w:t>25.053,50 €</w:t>
            </w:r>
          </w:p>
        </w:tc>
        <w:tc>
          <w:tcPr>
            <w:tcW w:w="684" w:type="dxa"/>
          </w:tcPr>
          <w:p>
            <w:pPr>
              <w:pStyle w:val="TableParagraph"/>
              <w:spacing w:line="135" w:lineRule="exact"/>
              <w:ind w:right="8"/>
              <w:rPr>
                <w:sz w:val="14"/>
              </w:rPr>
            </w:pPr>
            <w:r>
              <w:rPr>
                <w:w w:val="95"/>
                <w:sz w:val="14"/>
              </w:rPr>
              <w:t>0,21%</w:t>
            </w:r>
          </w:p>
        </w:tc>
      </w:tr>
      <w:tr>
        <w:trPr>
          <w:trHeight w:val="157" w:hRule="atLeast"/>
        </w:trPr>
        <w:tc>
          <w:tcPr>
            <w:tcW w:w="7663" w:type="dxa"/>
          </w:tcPr>
          <w:p>
            <w:pPr>
              <w:pStyle w:val="TableParagraph"/>
              <w:spacing w:line="137" w:lineRule="exact"/>
              <w:ind w:left="28"/>
              <w:jc w:val="left"/>
              <w:rPr>
                <w:sz w:val="14"/>
              </w:rPr>
            </w:pPr>
            <w:r>
              <w:rPr>
                <w:sz w:val="14"/>
              </w:rPr>
              <w:t>8. Encargo Servicio de Elaboración de la Propuestas del Programa Individual de Atención para Personas Solicitantes que</w:t>
            </w:r>
          </w:p>
        </w:tc>
        <w:tc>
          <w:tcPr>
            <w:tcW w:w="1258" w:type="dxa"/>
          </w:tcPr>
          <w:p>
            <w:pPr>
              <w:pStyle w:val="TableParagraph"/>
              <w:spacing w:line="137" w:lineRule="exact"/>
              <w:ind w:right="6"/>
              <w:rPr>
                <w:sz w:val="14"/>
              </w:rPr>
            </w:pPr>
            <w:r>
              <w:rPr>
                <w:sz w:val="14"/>
              </w:rPr>
              <w:t>329.628,02 €</w:t>
            </w:r>
          </w:p>
        </w:tc>
        <w:tc>
          <w:tcPr>
            <w:tcW w:w="684" w:type="dxa"/>
          </w:tcPr>
          <w:p>
            <w:pPr>
              <w:pStyle w:val="TableParagraph"/>
              <w:spacing w:line="137" w:lineRule="exact"/>
              <w:ind w:right="8"/>
              <w:rPr>
                <w:sz w:val="14"/>
              </w:rPr>
            </w:pPr>
            <w:r>
              <w:rPr>
                <w:w w:val="95"/>
                <w:sz w:val="14"/>
              </w:rPr>
              <w:t>2,82%</w:t>
            </w:r>
          </w:p>
        </w:tc>
      </w:tr>
      <w:tr>
        <w:trPr>
          <w:trHeight w:val="157" w:hRule="atLeast"/>
        </w:trPr>
        <w:tc>
          <w:tcPr>
            <w:tcW w:w="7663" w:type="dxa"/>
          </w:tcPr>
          <w:p>
            <w:pPr>
              <w:pStyle w:val="TableParagraph"/>
              <w:spacing w:line="137" w:lineRule="exact"/>
              <w:ind w:left="28"/>
              <w:jc w:val="left"/>
              <w:rPr>
                <w:sz w:val="14"/>
              </w:rPr>
            </w:pPr>
            <w:r>
              <w:rPr>
                <w:sz w:val="14"/>
              </w:rPr>
              <w:t>9. Encargo Bicácaro, Programa para la Igualdad y Diversidad de los Centros Educativos</w:t>
            </w:r>
          </w:p>
        </w:tc>
        <w:tc>
          <w:tcPr>
            <w:tcW w:w="1258" w:type="dxa"/>
          </w:tcPr>
          <w:p>
            <w:pPr>
              <w:pStyle w:val="TableParagraph"/>
              <w:spacing w:line="137" w:lineRule="exact"/>
              <w:ind w:right="6"/>
              <w:rPr>
                <w:sz w:val="14"/>
              </w:rPr>
            </w:pPr>
            <w:r>
              <w:rPr>
                <w:sz w:val="14"/>
              </w:rPr>
              <w:t>39.110,65 €</w:t>
            </w:r>
          </w:p>
        </w:tc>
        <w:tc>
          <w:tcPr>
            <w:tcW w:w="684" w:type="dxa"/>
          </w:tcPr>
          <w:p>
            <w:pPr>
              <w:pStyle w:val="TableParagraph"/>
              <w:spacing w:line="137" w:lineRule="exact"/>
              <w:ind w:right="8"/>
              <w:rPr>
                <w:sz w:val="14"/>
              </w:rPr>
            </w:pPr>
            <w:r>
              <w:rPr>
                <w:w w:val="95"/>
                <w:sz w:val="14"/>
              </w:rPr>
              <w:t>0,34%</w:t>
            </w:r>
          </w:p>
        </w:tc>
      </w:tr>
      <w:tr>
        <w:trPr>
          <w:trHeight w:val="157" w:hRule="atLeast"/>
        </w:trPr>
        <w:tc>
          <w:tcPr>
            <w:tcW w:w="7663" w:type="dxa"/>
          </w:tcPr>
          <w:p>
            <w:pPr>
              <w:pStyle w:val="TableParagraph"/>
              <w:spacing w:line="137" w:lineRule="exact"/>
              <w:ind w:left="28"/>
              <w:jc w:val="left"/>
              <w:rPr>
                <w:sz w:val="14"/>
              </w:rPr>
            </w:pPr>
            <w:r>
              <w:rPr>
                <w:sz w:val="14"/>
              </w:rPr>
              <w:t>10. Encargo Valoración Discapacidad</w:t>
            </w:r>
          </w:p>
        </w:tc>
        <w:tc>
          <w:tcPr>
            <w:tcW w:w="1258" w:type="dxa"/>
          </w:tcPr>
          <w:p>
            <w:pPr>
              <w:pStyle w:val="TableParagraph"/>
              <w:spacing w:line="137" w:lineRule="exact"/>
              <w:ind w:right="6"/>
              <w:rPr>
                <w:sz w:val="14"/>
              </w:rPr>
            </w:pPr>
            <w:r>
              <w:rPr>
                <w:sz w:val="14"/>
              </w:rPr>
              <w:t>142.644,41 €</w:t>
            </w:r>
          </w:p>
        </w:tc>
        <w:tc>
          <w:tcPr>
            <w:tcW w:w="684" w:type="dxa"/>
          </w:tcPr>
          <w:p>
            <w:pPr>
              <w:pStyle w:val="TableParagraph"/>
              <w:spacing w:line="137" w:lineRule="exact"/>
              <w:ind w:right="8"/>
              <w:rPr>
                <w:sz w:val="14"/>
              </w:rPr>
            </w:pPr>
            <w:r>
              <w:rPr>
                <w:w w:val="95"/>
                <w:sz w:val="14"/>
              </w:rPr>
              <w:t>1,22%</w:t>
            </w:r>
          </w:p>
        </w:tc>
      </w:tr>
      <w:tr>
        <w:trPr>
          <w:trHeight w:val="157" w:hRule="atLeast"/>
        </w:trPr>
        <w:tc>
          <w:tcPr>
            <w:tcW w:w="7663" w:type="dxa"/>
          </w:tcPr>
          <w:p>
            <w:pPr>
              <w:pStyle w:val="TableParagraph"/>
              <w:ind w:left="28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B2) Otros gastos varios de la actividad:</w:t>
            </w:r>
          </w:p>
        </w:tc>
        <w:tc>
          <w:tcPr>
            <w:tcW w:w="1258" w:type="dxa"/>
          </w:tcPr>
          <w:p>
            <w:pPr>
              <w:pStyle w:val="TableParagraph"/>
              <w:ind w:right="11"/>
              <w:rPr>
                <w:b/>
                <w:sz w:val="14"/>
              </w:rPr>
            </w:pPr>
            <w:r>
              <w:rPr>
                <w:b/>
                <w:sz w:val="14"/>
              </w:rPr>
              <w:t>76.172,05 €</w:t>
            </w:r>
          </w:p>
        </w:tc>
        <w:tc>
          <w:tcPr>
            <w:tcW w:w="684" w:type="dxa"/>
          </w:tcPr>
          <w:p>
            <w:pPr>
              <w:pStyle w:val="TableParagraph"/>
              <w:ind w:right="11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0,65%</w:t>
            </w:r>
          </w:p>
        </w:tc>
      </w:tr>
      <w:tr>
        <w:trPr>
          <w:trHeight w:val="157" w:hRule="atLeast"/>
        </w:trPr>
        <w:tc>
          <w:tcPr>
            <w:tcW w:w="7663" w:type="dxa"/>
          </w:tcPr>
          <w:p>
            <w:pPr>
              <w:pStyle w:val="TableParagraph"/>
              <w:spacing w:line="137" w:lineRule="exact"/>
              <w:ind w:left="28"/>
              <w:jc w:val="left"/>
              <w:rPr>
                <w:sz w:val="14"/>
              </w:rPr>
            </w:pPr>
            <w:r>
              <w:rPr>
                <w:sz w:val="14"/>
              </w:rPr>
              <w:t>1. Gastos Varios de la Actividad no imputados a los Centros y Programas</w:t>
            </w:r>
          </w:p>
        </w:tc>
        <w:tc>
          <w:tcPr>
            <w:tcW w:w="1258" w:type="dxa"/>
          </w:tcPr>
          <w:p>
            <w:pPr>
              <w:pStyle w:val="TableParagraph"/>
              <w:spacing w:line="137" w:lineRule="exact"/>
              <w:ind w:right="6"/>
              <w:rPr>
                <w:sz w:val="14"/>
              </w:rPr>
            </w:pPr>
            <w:r>
              <w:rPr>
                <w:sz w:val="14"/>
              </w:rPr>
              <w:t>76.172,05 €</w:t>
            </w:r>
          </w:p>
        </w:tc>
        <w:tc>
          <w:tcPr>
            <w:tcW w:w="684" w:type="dxa"/>
          </w:tcPr>
          <w:p>
            <w:pPr>
              <w:pStyle w:val="TableParagraph"/>
              <w:ind w:right="13"/>
              <w:rPr>
                <w:sz w:val="14"/>
              </w:rPr>
            </w:pPr>
            <w:r>
              <w:rPr>
                <w:w w:val="95"/>
                <w:sz w:val="14"/>
              </w:rPr>
              <w:t>0,65%</w:t>
            </w:r>
          </w:p>
        </w:tc>
      </w:tr>
      <w:tr>
        <w:trPr>
          <w:trHeight w:val="157" w:hRule="atLeast"/>
        </w:trPr>
        <w:tc>
          <w:tcPr>
            <w:tcW w:w="7663" w:type="dxa"/>
          </w:tcPr>
          <w:p>
            <w:pPr>
              <w:pStyle w:val="TableParagraph"/>
              <w:spacing w:line="133" w:lineRule="exact" w:before="5"/>
              <w:ind w:left="28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C) Amortización del Inmovilizado</w:t>
            </w:r>
          </w:p>
        </w:tc>
        <w:tc>
          <w:tcPr>
            <w:tcW w:w="1258" w:type="dxa"/>
          </w:tcPr>
          <w:p>
            <w:pPr>
              <w:pStyle w:val="TableParagraph"/>
              <w:spacing w:line="135" w:lineRule="exact" w:before="2"/>
              <w:ind w:right="6"/>
              <w:rPr>
                <w:b/>
                <w:sz w:val="14"/>
              </w:rPr>
            </w:pPr>
            <w:r>
              <w:rPr>
                <w:b/>
                <w:sz w:val="14"/>
              </w:rPr>
              <w:t>334.182,65 €</w:t>
            </w:r>
          </w:p>
        </w:tc>
        <w:tc>
          <w:tcPr>
            <w:tcW w:w="684" w:type="dxa"/>
          </w:tcPr>
          <w:p>
            <w:pPr>
              <w:pStyle w:val="TableParagraph"/>
              <w:ind w:right="11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2,86%</w:t>
            </w:r>
          </w:p>
        </w:tc>
      </w:tr>
      <w:tr>
        <w:trPr>
          <w:trHeight w:val="157" w:hRule="atLeast"/>
        </w:trPr>
        <w:tc>
          <w:tcPr>
            <w:tcW w:w="7663" w:type="dxa"/>
          </w:tcPr>
          <w:p>
            <w:pPr>
              <w:pStyle w:val="TableParagraph"/>
              <w:spacing w:line="133" w:lineRule="exact" w:before="5"/>
              <w:ind w:left="28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D) Otros gastos de gestión</w:t>
            </w:r>
          </w:p>
        </w:tc>
        <w:tc>
          <w:tcPr>
            <w:tcW w:w="1258" w:type="dxa"/>
          </w:tcPr>
          <w:p>
            <w:pPr>
              <w:pStyle w:val="TableParagraph"/>
              <w:spacing w:line="135" w:lineRule="exact" w:before="2"/>
              <w:ind w:right="6"/>
              <w:rPr>
                <w:b/>
                <w:sz w:val="14"/>
              </w:rPr>
            </w:pPr>
            <w:r>
              <w:rPr>
                <w:b/>
                <w:sz w:val="14"/>
              </w:rPr>
              <w:t>0,00 €</w:t>
            </w:r>
          </w:p>
        </w:tc>
        <w:tc>
          <w:tcPr>
            <w:tcW w:w="684" w:type="dxa"/>
          </w:tcPr>
          <w:p>
            <w:pPr>
              <w:pStyle w:val="TableParagraph"/>
              <w:ind w:right="11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0,00%</w:t>
            </w:r>
          </w:p>
        </w:tc>
      </w:tr>
      <w:tr>
        <w:trPr>
          <w:trHeight w:val="157" w:hRule="atLeast"/>
        </w:trPr>
        <w:tc>
          <w:tcPr>
            <w:tcW w:w="7663" w:type="dxa"/>
          </w:tcPr>
          <w:p>
            <w:pPr>
              <w:pStyle w:val="TableParagraph"/>
              <w:ind w:left="28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E) Gastos Financieros</w:t>
            </w:r>
          </w:p>
        </w:tc>
        <w:tc>
          <w:tcPr>
            <w:tcW w:w="1258" w:type="dxa"/>
          </w:tcPr>
          <w:p>
            <w:pPr>
              <w:pStyle w:val="TableParagraph"/>
              <w:spacing w:line="135" w:lineRule="exact" w:before="2"/>
              <w:ind w:right="6"/>
              <w:rPr>
                <w:b/>
                <w:sz w:val="14"/>
              </w:rPr>
            </w:pPr>
            <w:r>
              <w:rPr>
                <w:b/>
                <w:sz w:val="14"/>
              </w:rPr>
              <w:t>0,00 €</w:t>
            </w:r>
          </w:p>
        </w:tc>
        <w:tc>
          <w:tcPr>
            <w:tcW w:w="684" w:type="dxa"/>
          </w:tcPr>
          <w:p>
            <w:pPr>
              <w:pStyle w:val="TableParagraph"/>
              <w:ind w:right="11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0,00%</w:t>
            </w:r>
          </w:p>
        </w:tc>
      </w:tr>
      <w:tr>
        <w:trPr>
          <w:trHeight w:val="157" w:hRule="atLeast"/>
        </w:trPr>
        <w:tc>
          <w:tcPr>
            <w:tcW w:w="7663" w:type="dxa"/>
          </w:tcPr>
          <w:p>
            <w:pPr>
              <w:pStyle w:val="TableParagraph"/>
              <w:spacing w:line="133" w:lineRule="exact" w:before="5"/>
              <w:ind w:left="28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GASTOS</w:t>
            </w:r>
          </w:p>
        </w:tc>
        <w:tc>
          <w:tcPr>
            <w:tcW w:w="1258" w:type="dxa"/>
          </w:tcPr>
          <w:p>
            <w:pPr>
              <w:pStyle w:val="TableParagraph"/>
              <w:ind w:right="11"/>
              <w:rPr>
                <w:b/>
                <w:sz w:val="14"/>
              </w:rPr>
            </w:pPr>
            <w:r>
              <w:rPr>
                <w:b/>
                <w:sz w:val="14"/>
              </w:rPr>
              <w:t>11.669.395,18 €</w:t>
            </w:r>
          </w:p>
        </w:tc>
        <w:tc>
          <w:tcPr>
            <w:tcW w:w="684" w:type="dxa"/>
          </w:tcPr>
          <w:p>
            <w:pPr>
              <w:pStyle w:val="TableParagraph"/>
              <w:spacing w:line="135" w:lineRule="exact" w:before="2"/>
              <w:ind w:right="6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100,00%</w:t>
            </w:r>
          </w:p>
        </w:tc>
      </w:tr>
    </w:tbl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9" w:after="1"/>
        <w:rPr>
          <w:b/>
          <w:sz w:val="18"/>
        </w:rPr>
      </w:pPr>
    </w:p>
    <w:tbl>
      <w:tblPr>
        <w:tblW w:w="0" w:type="auto"/>
        <w:jc w:val="left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5"/>
        <w:gridCol w:w="6868"/>
        <w:gridCol w:w="1258"/>
        <w:gridCol w:w="684"/>
      </w:tblGrid>
      <w:tr>
        <w:trPr>
          <w:trHeight w:val="157" w:hRule="atLeast"/>
        </w:trPr>
        <w:tc>
          <w:tcPr>
            <w:tcW w:w="7663" w:type="dxa"/>
            <w:gridSpan w:val="2"/>
          </w:tcPr>
          <w:p>
            <w:pPr>
              <w:pStyle w:val="TableParagraph"/>
              <w:ind w:left="3441" w:right="3426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INGRESOS</w:t>
            </w:r>
          </w:p>
        </w:tc>
        <w:tc>
          <w:tcPr>
            <w:tcW w:w="1258" w:type="dxa"/>
          </w:tcPr>
          <w:p>
            <w:pPr>
              <w:pStyle w:val="TableParagraph"/>
              <w:spacing w:line="135" w:lineRule="exact" w:before="2"/>
              <w:ind w:left="454" w:right="436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2026</w:t>
            </w:r>
          </w:p>
        </w:tc>
        <w:tc>
          <w:tcPr>
            <w:tcW w:w="684" w:type="dxa"/>
          </w:tcPr>
          <w:p>
            <w:pPr>
              <w:pStyle w:val="TableParagraph"/>
              <w:spacing w:line="135" w:lineRule="exact" w:before="2"/>
              <w:ind w:left="19"/>
              <w:jc w:val="center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%</w:t>
            </w:r>
          </w:p>
        </w:tc>
      </w:tr>
      <w:tr>
        <w:trPr>
          <w:trHeight w:val="157" w:hRule="atLeast"/>
        </w:trPr>
        <w:tc>
          <w:tcPr>
            <w:tcW w:w="7663" w:type="dxa"/>
            <w:gridSpan w:val="2"/>
          </w:tcPr>
          <w:p>
            <w:pPr>
              <w:pStyle w:val="TableParagraph"/>
              <w:ind w:left="28"/>
              <w:jc w:val="left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A) Subvenciones Corrientes y Prestación de Servicios:</w:t>
            </w:r>
          </w:p>
        </w:tc>
        <w:tc>
          <w:tcPr>
            <w:tcW w:w="1258" w:type="dxa"/>
          </w:tcPr>
          <w:p>
            <w:pPr>
              <w:pStyle w:val="TableParagraph"/>
              <w:ind w:right="11"/>
              <w:rPr>
                <w:b/>
                <w:sz w:val="14"/>
              </w:rPr>
            </w:pPr>
            <w:r>
              <w:rPr>
                <w:b/>
                <w:sz w:val="14"/>
              </w:rPr>
              <w:t>11.259.040,48 €</w:t>
            </w:r>
          </w:p>
        </w:tc>
        <w:tc>
          <w:tcPr>
            <w:tcW w:w="684" w:type="dxa"/>
          </w:tcPr>
          <w:p>
            <w:pPr>
              <w:pStyle w:val="TableParagraph"/>
              <w:ind w:right="11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96,48%</w:t>
            </w:r>
          </w:p>
        </w:tc>
      </w:tr>
      <w:tr>
        <w:trPr>
          <w:trHeight w:val="158" w:hRule="atLeast"/>
        </w:trPr>
        <w:tc>
          <w:tcPr>
            <w:tcW w:w="7663" w:type="dxa"/>
            <w:gridSpan w:val="2"/>
          </w:tcPr>
          <w:p>
            <w:pPr>
              <w:pStyle w:val="TableParagraph"/>
              <w:ind w:left="28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1. Programa Gestión y Mantenimiento FuCAS</w:t>
            </w:r>
          </w:p>
        </w:tc>
        <w:tc>
          <w:tcPr>
            <w:tcW w:w="1258" w:type="dxa"/>
          </w:tcPr>
          <w:p>
            <w:pPr>
              <w:pStyle w:val="TableParagraph"/>
              <w:ind w:right="11"/>
              <w:rPr>
                <w:b/>
                <w:sz w:val="14"/>
              </w:rPr>
            </w:pPr>
            <w:r>
              <w:rPr>
                <w:b/>
                <w:sz w:val="14"/>
              </w:rPr>
              <w:t>516.608,00 €</w:t>
            </w:r>
          </w:p>
        </w:tc>
        <w:tc>
          <w:tcPr>
            <w:tcW w:w="684" w:type="dxa"/>
          </w:tcPr>
          <w:p>
            <w:pPr>
              <w:pStyle w:val="TableParagraph"/>
              <w:ind w:right="11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4,43%</w:t>
            </w:r>
          </w:p>
        </w:tc>
      </w:tr>
      <w:tr>
        <w:trPr>
          <w:trHeight w:val="157" w:hRule="atLeast"/>
        </w:trPr>
        <w:tc>
          <w:tcPr>
            <w:tcW w:w="795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6868" w:type="dxa"/>
          </w:tcPr>
          <w:p>
            <w:pPr>
              <w:pStyle w:val="TableParagraph"/>
              <w:spacing w:line="137" w:lineRule="exact"/>
              <w:ind w:left="67"/>
              <w:jc w:val="left"/>
              <w:rPr>
                <w:sz w:val="14"/>
              </w:rPr>
            </w:pPr>
            <w:r>
              <w:rPr>
                <w:sz w:val="14"/>
              </w:rPr>
              <w:t>Dirección General Discapacidad. (Aportación Dineraria)</w:t>
            </w:r>
          </w:p>
        </w:tc>
        <w:tc>
          <w:tcPr>
            <w:tcW w:w="1258" w:type="dxa"/>
          </w:tcPr>
          <w:p>
            <w:pPr>
              <w:pStyle w:val="TableParagraph"/>
              <w:ind w:right="11"/>
              <w:rPr>
                <w:sz w:val="14"/>
              </w:rPr>
            </w:pPr>
            <w:r>
              <w:rPr>
                <w:sz w:val="14"/>
              </w:rPr>
              <w:t>516.608,00 €</w:t>
            </w:r>
          </w:p>
        </w:tc>
        <w:tc>
          <w:tcPr>
            <w:tcW w:w="684" w:type="dxa"/>
          </w:tcPr>
          <w:p>
            <w:pPr>
              <w:pStyle w:val="TableParagraph"/>
              <w:ind w:right="13"/>
              <w:rPr>
                <w:sz w:val="14"/>
              </w:rPr>
            </w:pPr>
            <w:r>
              <w:rPr>
                <w:w w:val="95"/>
                <w:sz w:val="14"/>
              </w:rPr>
              <w:t>4,43%</w:t>
            </w:r>
          </w:p>
        </w:tc>
      </w:tr>
      <w:tr>
        <w:trPr>
          <w:trHeight w:val="148" w:hRule="atLeast"/>
        </w:trPr>
        <w:tc>
          <w:tcPr>
            <w:tcW w:w="7663" w:type="dxa"/>
            <w:gridSpan w:val="2"/>
          </w:tcPr>
          <w:p>
            <w:pPr>
              <w:pStyle w:val="TableParagraph"/>
              <w:spacing w:line="128" w:lineRule="exact"/>
              <w:ind w:left="28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2. Centro Privado de Educación Especial Concertado la Casita</w:t>
            </w:r>
          </w:p>
        </w:tc>
        <w:tc>
          <w:tcPr>
            <w:tcW w:w="1258" w:type="dxa"/>
          </w:tcPr>
          <w:p>
            <w:pPr>
              <w:pStyle w:val="TableParagraph"/>
              <w:spacing w:line="128" w:lineRule="exact"/>
              <w:ind w:right="11"/>
              <w:rPr>
                <w:b/>
                <w:sz w:val="14"/>
              </w:rPr>
            </w:pPr>
            <w:r>
              <w:rPr>
                <w:b/>
                <w:sz w:val="14"/>
              </w:rPr>
              <w:t>1.969.053,00 €</w:t>
            </w:r>
          </w:p>
        </w:tc>
        <w:tc>
          <w:tcPr>
            <w:tcW w:w="684" w:type="dxa"/>
          </w:tcPr>
          <w:p>
            <w:pPr>
              <w:pStyle w:val="TableParagraph"/>
              <w:spacing w:line="128" w:lineRule="exact"/>
              <w:ind w:right="11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16,87%</w:t>
            </w:r>
          </w:p>
        </w:tc>
      </w:tr>
      <w:tr>
        <w:trPr>
          <w:trHeight w:val="157" w:hRule="atLeast"/>
        </w:trPr>
        <w:tc>
          <w:tcPr>
            <w:tcW w:w="795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6868" w:type="dxa"/>
          </w:tcPr>
          <w:p>
            <w:pPr>
              <w:pStyle w:val="TableParagraph"/>
              <w:spacing w:line="137" w:lineRule="exact"/>
              <w:ind w:left="28"/>
              <w:jc w:val="left"/>
              <w:rPr>
                <w:sz w:val="14"/>
              </w:rPr>
            </w:pPr>
            <w:r>
              <w:rPr>
                <w:color w:val="444444"/>
                <w:sz w:val="14"/>
              </w:rPr>
              <w:t>Dirección General Discapacidad. (Aportación Dineraria)</w:t>
            </w:r>
          </w:p>
        </w:tc>
        <w:tc>
          <w:tcPr>
            <w:tcW w:w="1258" w:type="dxa"/>
          </w:tcPr>
          <w:p>
            <w:pPr>
              <w:pStyle w:val="TableParagraph"/>
              <w:ind w:right="11"/>
              <w:rPr>
                <w:sz w:val="14"/>
              </w:rPr>
            </w:pPr>
            <w:r>
              <w:rPr>
                <w:sz w:val="14"/>
              </w:rPr>
              <w:t>600.654,00 €</w:t>
            </w:r>
          </w:p>
        </w:tc>
        <w:tc>
          <w:tcPr>
            <w:tcW w:w="684" w:type="dxa"/>
          </w:tcPr>
          <w:p>
            <w:pPr>
              <w:pStyle w:val="TableParagraph"/>
              <w:ind w:right="13"/>
              <w:rPr>
                <w:sz w:val="14"/>
              </w:rPr>
            </w:pPr>
            <w:r>
              <w:rPr>
                <w:w w:val="95"/>
                <w:sz w:val="14"/>
              </w:rPr>
              <w:t>5,15%</w:t>
            </w:r>
          </w:p>
        </w:tc>
      </w:tr>
      <w:tr>
        <w:trPr>
          <w:trHeight w:val="157" w:hRule="atLeast"/>
        </w:trPr>
        <w:tc>
          <w:tcPr>
            <w:tcW w:w="795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6868" w:type="dxa"/>
          </w:tcPr>
          <w:p>
            <w:pPr>
              <w:pStyle w:val="TableParagraph"/>
              <w:ind w:left="28"/>
              <w:jc w:val="left"/>
              <w:rPr>
                <w:sz w:val="14"/>
              </w:rPr>
            </w:pPr>
            <w:r>
              <w:rPr>
                <w:sz w:val="14"/>
              </w:rPr>
              <w:t>Subvención Cabildo Gran Canaria (Subvención)</w:t>
            </w:r>
          </w:p>
        </w:tc>
        <w:tc>
          <w:tcPr>
            <w:tcW w:w="1258" w:type="dxa"/>
          </w:tcPr>
          <w:p>
            <w:pPr>
              <w:pStyle w:val="TableParagraph"/>
              <w:ind w:right="11"/>
              <w:rPr>
                <w:sz w:val="14"/>
              </w:rPr>
            </w:pPr>
            <w:r>
              <w:rPr>
                <w:sz w:val="14"/>
              </w:rPr>
              <w:t>18.700,00 €</w:t>
            </w:r>
          </w:p>
        </w:tc>
        <w:tc>
          <w:tcPr>
            <w:tcW w:w="684" w:type="dxa"/>
          </w:tcPr>
          <w:p>
            <w:pPr>
              <w:pStyle w:val="TableParagraph"/>
              <w:ind w:right="13"/>
              <w:rPr>
                <w:sz w:val="14"/>
              </w:rPr>
            </w:pPr>
            <w:r>
              <w:rPr>
                <w:w w:val="95"/>
                <w:sz w:val="14"/>
              </w:rPr>
              <w:t>0,16%</w:t>
            </w:r>
          </w:p>
        </w:tc>
      </w:tr>
      <w:tr>
        <w:trPr>
          <w:trHeight w:val="157" w:hRule="atLeast"/>
        </w:trPr>
        <w:tc>
          <w:tcPr>
            <w:tcW w:w="795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6868" w:type="dxa"/>
          </w:tcPr>
          <w:p>
            <w:pPr>
              <w:pStyle w:val="TableParagraph"/>
              <w:ind w:left="28"/>
              <w:jc w:val="left"/>
              <w:rPr>
                <w:sz w:val="14"/>
              </w:rPr>
            </w:pPr>
            <w:r>
              <w:rPr>
                <w:sz w:val="14"/>
              </w:rPr>
              <w:t>Servicio Canario de la Salud (Encargo)</w:t>
            </w:r>
          </w:p>
        </w:tc>
        <w:tc>
          <w:tcPr>
            <w:tcW w:w="1258" w:type="dxa"/>
          </w:tcPr>
          <w:p>
            <w:pPr>
              <w:pStyle w:val="TableParagraph"/>
              <w:ind w:right="11"/>
              <w:rPr>
                <w:sz w:val="14"/>
              </w:rPr>
            </w:pPr>
            <w:r>
              <w:rPr>
                <w:sz w:val="14"/>
              </w:rPr>
              <w:t>571.313,00 €</w:t>
            </w:r>
          </w:p>
        </w:tc>
        <w:tc>
          <w:tcPr>
            <w:tcW w:w="684" w:type="dxa"/>
          </w:tcPr>
          <w:p>
            <w:pPr>
              <w:pStyle w:val="TableParagraph"/>
              <w:ind w:right="13"/>
              <w:rPr>
                <w:sz w:val="14"/>
              </w:rPr>
            </w:pPr>
            <w:r>
              <w:rPr>
                <w:w w:val="95"/>
                <w:sz w:val="14"/>
              </w:rPr>
              <w:t>4,90%</w:t>
            </w:r>
          </w:p>
        </w:tc>
      </w:tr>
      <w:tr>
        <w:trPr>
          <w:trHeight w:val="157" w:hRule="atLeast"/>
        </w:trPr>
        <w:tc>
          <w:tcPr>
            <w:tcW w:w="795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6868" w:type="dxa"/>
          </w:tcPr>
          <w:p>
            <w:pPr>
              <w:pStyle w:val="TableParagraph"/>
              <w:ind w:left="28"/>
              <w:jc w:val="left"/>
              <w:rPr>
                <w:i/>
                <w:sz w:val="14"/>
              </w:rPr>
            </w:pPr>
            <w:r>
              <w:rPr>
                <w:sz w:val="14"/>
              </w:rPr>
              <w:t>Consejería de Educación, Formación Profesional, Actividad Física y Deportes (Concierto Educativo</w:t>
            </w:r>
            <w:r>
              <w:rPr>
                <w:i/>
                <w:sz w:val="14"/>
              </w:rPr>
              <w:t>)</w:t>
            </w:r>
          </w:p>
        </w:tc>
        <w:tc>
          <w:tcPr>
            <w:tcW w:w="1258" w:type="dxa"/>
          </w:tcPr>
          <w:p>
            <w:pPr>
              <w:pStyle w:val="TableParagraph"/>
              <w:ind w:right="11"/>
              <w:rPr>
                <w:sz w:val="14"/>
              </w:rPr>
            </w:pPr>
            <w:r>
              <w:rPr>
                <w:sz w:val="14"/>
              </w:rPr>
              <w:t>778.386,00 €</w:t>
            </w:r>
          </w:p>
        </w:tc>
        <w:tc>
          <w:tcPr>
            <w:tcW w:w="684" w:type="dxa"/>
          </w:tcPr>
          <w:p>
            <w:pPr>
              <w:pStyle w:val="TableParagraph"/>
              <w:ind w:right="13"/>
              <w:rPr>
                <w:sz w:val="14"/>
              </w:rPr>
            </w:pPr>
            <w:r>
              <w:rPr>
                <w:w w:val="95"/>
                <w:sz w:val="14"/>
              </w:rPr>
              <w:t>6,67%</w:t>
            </w:r>
          </w:p>
        </w:tc>
      </w:tr>
      <w:tr>
        <w:trPr>
          <w:trHeight w:val="330" w:hRule="atLeast"/>
        </w:trPr>
        <w:tc>
          <w:tcPr>
            <w:tcW w:w="7663" w:type="dxa"/>
            <w:gridSpan w:val="2"/>
          </w:tcPr>
          <w:p>
            <w:pPr>
              <w:pStyle w:val="TableParagraph"/>
              <w:spacing w:line="240" w:lineRule="auto" w:before="5"/>
              <w:ind w:left="28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3. Centro de Adultos Hermano Pedro (Residencia y Centro de Día para Personas en Situación de Dependencia por</w:t>
            </w:r>
          </w:p>
          <w:p>
            <w:pPr>
              <w:pStyle w:val="TableParagraph"/>
              <w:spacing w:line="125" w:lineRule="exact" w:before="19"/>
              <w:ind w:left="28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Discapacidad Intelectual)</w:t>
            </w:r>
          </w:p>
        </w:tc>
        <w:tc>
          <w:tcPr>
            <w:tcW w:w="1258" w:type="dxa"/>
          </w:tcPr>
          <w:p>
            <w:pPr>
              <w:pStyle w:val="TableParagraph"/>
              <w:spacing w:line="240" w:lineRule="auto" w:before="82"/>
              <w:ind w:right="11"/>
              <w:rPr>
                <w:b/>
                <w:sz w:val="14"/>
              </w:rPr>
            </w:pPr>
            <w:r>
              <w:rPr>
                <w:b/>
                <w:sz w:val="14"/>
              </w:rPr>
              <w:t>1.470.169,00 €</w:t>
            </w:r>
          </w:p>
        </w:tc>
        <w:tc>
          <w:tcPr>
            <w:tcW w:w="684" w:type="dxa"/>
          </w:tcPr>
          <w:p>
            <w:pPr>
              <w:pStyle w:val="TableParagraph"/>
              <w:spacing w:line="240" w:lineRule="auto" w:before="82"/>
              <w:ind w:right="11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12,60%</w:t>
            </w:r>
          </w:p>
        </w:tc>
      </w:tr>
      <w:tr>
        <w:trPr>
          <w:trHeight w:val="157" w:hRule="atLeast"/>
        </w:trPr>
        <w:tc>
          <w:tcPr>
            <w:tcW w:w="795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6868" w:type="dxa"/>
          </w:tcPr>
          <w:p>
            <w:pPr>
              <w:pStyle w:val="TableParagraph"/>
              <w:spacing w:line="137" w:lineRule="exact"/>
              <w:ind w:left="28"/>
              <w:jc w:val="left"/>
              <w:rPr>
                <w:sz w:val="14"/>
              </w:rPr>
            </w:pPr>
            <w:r>
              <w:rPr>
                <w:color w:val="444444"/>
                <w:sz w:val="14"/>
              </w:rPr>
              <w:t>Dirección General Discapacidad. (Aportación Dineraria)</w:t>
            </w:r>
          </w:p>
        </w:tc>
        <w:tc>
          <w:tcPr>
            <w:tcW w:w="1258" w:type="dxa"/>
          </w:tcPr>
          <w:p>
            <w:pPr>
              <w:pStyle w:val="TableParagraph"/>
              <w:ind w:right="11"/>
              <w:rPr>
                <w:sz w:val="14"/>
              </w:rPr>
            </w:pPr>
            <w:r>
              <w:rPr>
                <w:sz w:val="14"/>
              </w:rPr>
              <w:t>1.394.449,00 €</w:t>
            </w:r>
          </w:p>
        </w:tc>
        <w:tc>
          <w:tcPr>
            <w:tcW w:w="684" w:type="dxa"/>
          </w:tcPr>
          <w:p>
            <w:pPr>
              <w:pStyle w:val="TableParagraph"/>
              <w:ind w:right="13"/>
              <w:rPr>
                <w:sz w:val="14"/>
              </w:rPr>
            </w:pPr>
            <w:r>
              <w:rPr>
                <w:w w:val="95"/>
                <w:sz w:val="14"/>
              </w:rPr>
              <w:t>11,95%</w:t>
            </w:r>
          </w:p>
        </w:tc>
      </w:tr>
      <w:tr>
        <w:trPr>
          <w:trHeight w:val="157" w:hRule="atLeast"/>
        </w:trPr>
        <w:tc>
          <w:tcPr>
            <w:tcW w:w="795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6868" w:type="dxa"/>
          </w:tcPr>
          <w:p>
            <w:pPr>
              <w:pStyle w:val="TableParagraph"/>
              <w:ind w:left="28"/>
              <w:jc w:val="left"/>
              <w:rPr>
                <w:i/>
                <w:sz w:val="14"/>
              </w:rPr>
            </w:pPr>
            <w:r>
              <w:rPr>
                <w:i/>
                <w:sz w:val="14"/>
              </w:rPr>
              <w:t>Aportación Usuarios</w:t>
            </w:r>
          </w:p>
        </w:tc>
        <w:tc>
          <w:tcPr>
            <w:tcW w:w="1258" w:type="dxa"/>
          </w:tcPr>
          <w:p>
            <w:pPr>
              <w:pStyle w:val="TableParagraph"/>
              <w:ind w:right="11"/>
              <w:rPr>
                <w:sz w:val="14"/>
              </w:rPr>
            </w:pPr>
            <w:r>
              <w:rPr>
                <w:sz w:val="14"/>
              </w:rPr>
              <w:t>75.720,00 €</w:t>
            </w:r>
          </w:p>
        </w:tc>
        <w:tc>
          <w:tcPr>
            <w:tcW w:w="684" w:type="dxa"/>
          </w:tcPr>
          <w:p>
            <w:pPr>
              <w:pStyle w:val="TableParagraph"/>
              <w:ind w:right="13"/>
              <w:rPr>
                <w:sz w:val="14"/>
              </w:rPr>
            </w:pPr>
            <w:r>
              <w:rPr>
                <w:w w:val="95"/>
                <w:sz w:val="14"/>
              </w:rPr>
              <w:t>0,65%</w:t>
            </w:r>
          </w:p>
        </w:tc>
      </w:tr>
      <w:tr>
        <w:trPr>
          <w:trHeight w:val="188" w:hRule="atLeast"/>
        </w:trPr>
        <w:tc>
          <w:tcPr>
            <w:tcW w:w="7663" w:type="dxa"/>
            <w:gridSpan w:val="2"/>
          </w:tcPr>
          <w:p>
            <w:pPr>
              <w:pStyle w:val="TableParagraph"/>
              <w:spacing w:line="240" w:lineRule="auto" w:before="5"/>
              <w:ind w:left="28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4. Centro de Día para Personas en Situación de Dependencia por Discapacidad Física Los Ruiseñores</w:t>
            </w:r>
          </w:p>
        </w:tc>
        <w:tc>
          <w:tcPr>
            <w:tcW w:w="1258" w:type="dxa"/>
          </w:tcPr>
          <w:p>
            <w:pPr>
              <w:pStyle w:val="TableParagraph"/>
              <w:spacing w:line="142" w:lineRule="exact" w:before="26"/>
              <w:ind w:right="11"/>
              <w:rPr>
                <w:b/>
                <w:sz w:val="14"/>
              </w:rPr>
            </w:pPr>
            <w:r>
              <w:rPr>
                <w:b/>
                <w:sz w:val="14"/>
              </w:rPr>
              <w:t>434.258,00 €</w:t>
            </w:r>
          </w:p>
        </w:tc>
        <w:tc>
          <w:tcPr>
            <w:tcW w:w="684" w:type="dxa"/>
          </w:tcPr>
          <w:p>
            <w:pPr>
              <w:pStyle w:val="TableParagraph"/>
              <w:spacing w:line="142" w:lineRule="exact" w:before="26"/>
              <w:ind w:right="11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3,72%</w:t>
            </w:r>
          </w:p>
        </w:tc>
      </w:tr>
      <w:tr>
        <w:trPr>
          <w:trHeight w:val="160" w:hRule="atLeast"/>
        </w:trPr>
        <w:tc>
          <w:tcPr>
            <w:tcW w:w="795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6868" w:type="dxa"/>
          </w:tcPr>
          <w:p>
            <w:pPr>
              <w:pStyle w:val="TableParagraph"/>
              <w:spacing w:line="140" w:lineRule="exact"/>
              <w:ind w:left="67"/>
              <w:jc w:val="left"/>
              <w:rPr>
                <w:sz w:val="14"/>
              </w:rPr>
            </w:pPr>
            <w:r>
              <w:rPr>
                <w:color w:val="444444"/>
                <w:sz w:val="14"/>
              </w:rPr>
              <w:t>Dirección General Discapacidad. (Aportación Dineraria)</w:t>
            </w:r>
          </w:p>
        </w:tc>
        <w:tc>
          <w:tcPr>
            <w:tcW w:w="1258" w:type="dxa"/>
          </w:tcPr>
          <w:p>
            <w:pPr>
              <w:pStyle w:val="TableParagraph"/>
              <w:spacing w:line="140" w:lineRule="exact"/>
              <w:ind w:right="11"/>
              <w:rPr>
                <w:sz w:val="14"/>
              </w:rPr>
            </w:pPr>
            <w:r>
              <w:rPr>
                <w:sz w:val="14"/>
              </w:rPr>
              <w:t>423.158,00 €</w:t>
            </w:r>
          </w:p>
        </w:tc>
        <w:tc>
          <w:tcPr>
            <w:tcW w:w="684" w:type="dxa"/>
          </w:tcPr>
          <w:p>
            <w:pPr>
              <w:pStyle w:val="TableParagraph"/>
              <w:spacing w:line="140" w:lineRule="exact"/>
              <w:ind w:right="13"/>
              <w:rPr>
                <w:sz w:val="14"/>
              </w:rPr>
            </w:pPr>
            <w:r>
              <w:rPr>
                <w:w w:val="95"/>
                <w:sz w:val="14"/>
              </w:rPr>
              <w:t>3,63%</w:t>
            </w:r>
          </w:p>
        </w:tc>
      </w:tr>
      <w:tr>
        <w:trPr>
          <w:trHeight w:val="157" w:hRule="atLeast"/>
        </w:trPr>
        <w:tc>
          <w:tcPr>
            <w:tcW w:w="795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6868" w:type="dxa"/>
          </w:tcPr>
          <w:p>
            <w:pPr>
              <w:pStyle w:val="TableParagraph"/>
              <w:spacing w:line="137" w:lineRule="exact"/>
              <w:ind w:left="28"/>
              <w:jc w:val="left"/>
              <w:rPr>
                <w:sz w:val="14"/>
              </w:rPr>
            </w:pPr>
            <w:r>
              <w:rPr>
                <w:color w:val="444444"/>
                <w:sz w:val="14"/>
              </w:rPr>
              <w:t>Aportación Usuarios</w:t>
            </w:r>
          </w:p>
        </w:tc>
        <w:tc>
          <w:tcPr>
            <w:tcW w:w="1258" w:type="dxa"/>
          </w:tcPr>
          <w:p>
            <w:pPr>
              <w:pStyle w:val="TableParagraph"/>
              <w:ind w:right="11"/>
              <w:rPr>
                <w:sz w:val="14"/>
              </w:rPr>
            </w:pPr>
            <w:r>
              <w:rPr>
                <w:sz w:val="14"/>
              </w:rPr>
              <w:t>11.100,00 €</w:t>
            </w:r>
          </w:p>
        </w:tc>
        <w:tc>
          <w:tcPr>
            <w:tcW w:w="684" w:type="dxa"/>
          </w:tcPr>
          <w:p>
            <w:pPr>
              <w:pStyle w:val="TableParagraph"/>
              <w:ind w:right="13"/>
              <w:rPr>
                <w:sz w:val="14"/>
              </w:rPr>
            </w:pPr>
            <w:r>
              <w:rPr>
                <w:w w:val="95"/>
                <w:sz w:val="14"/>
              </w:rPr>
              <w:t>0,10%</w:t>
            </w:r>
          </w:p>
        </w:tc>
      </w:tr>
      <w:tr>
        <w:trPr>
          <w:trHeight w:val="157" w:hRule="atLeast"/>
        </w:trPr>
        <w:tc>
          <w:tcPr>
            <w:tcW w:w="7663" w:type="dxa"/>
            <w:gridSpan w:val="2"/>
          </w:tcPr>
          <w:p>
            <w:pPr>
              <w:pStyle w:val="TableParagraph"/>
              <w:spacing w:line="133" w:lineRule="exact" w:before="5"/>
              <w:ind w:left="28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5. Encargo de Gestión del Centro de Día para Personas Mayores de Marzagán</w:t>
            </w:r>
          </w:p>
        </w:tc>
        <w:tc>
          <w:tcPr>
            <w:tcW w:w="1258" w:type="dxa"/>
          </w:tcPr>
          <w:p>
            <w:pPr>
              <w:pStyle w:val="TableParagraph"/>
              <w:ind w:right="11"/>
              <w:rPr>
                <w:b/>
                <w:sz w:val="14"/>
              </w:rPr>
            </w:pPr>
            <w:r>
              <w:rPr>
                <w:b/>
                <w:sz w:val="14"/>
              </w:rPr>
              <w:t>158.319,91 €</w:t>
            </w:r>
          </w:p>
        </w:tc>
        <w:tc>
          <w:tcPr>
            <w:tcW w:w="684" w:type="dxa"/>
          </w:tcPr>
          <w:p>
            <w:pPr>
              <w:pStyle w:val="TableParagraph"/>
              <w:ind w:right="11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1,36%</w:t>
            </w:r>
          </w:p>
        </w:tc>
      </w:tr>
      <w:tr>
        <w:trPr>
          <w:trHeight w:val="157" w:hRule="atLeast"/>
        </w:trPr>
        <w:tc>
          <w:tcPr>
            <w:tcW w:w="795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6868" w:type="dxa"/>
          </w:tcPr>
          <w:p>
            <w:pPr>
              <w:pStyle w:val="TableParagraph"/>
              <w:spacing w:line="137" w:lineRule="exact"/>
              <w:ind w:left="28"/>
              <w:jc w:val="left"/>
              <w:rPr>
                <w:sz w:val="14"/>
              </w:rPr>
            </w:pPr>
            <w:r>
              <w:rPr>
                <w:sz w:val="14"/>
              </w:rPr>
              <w:t>D. Gral. de Mayores y Participación Activa</w:t>
            </w:r>
          </w:p>
        </w:tc>
        <w:tc>
          <w:tcPr>
            <w:tcW w:w="1258" w:type="dxa"/>
          </w:tcPr>
          <w:p>
            <w:pPr>
              <w:pStyle w:val="TableParagraph"/>
              <w:ind w:right="11"/>
              <w:rPr>
                <w:sz w:val="14"/>
              </w:rPr>
            </w:pPr>
            <w:r>
              <w:rPr>
                <w:sz w:val="14"/>
              </w:rPr>
              <w:t>158.319,91 €</w:t>
            </w:r>
          </w:p>
        </w:tc>
        <w:tc>
          <w:tcPr>
            <w:tcW w:w="684" w:type="dxa"/>
          </w:tcPr>
          <w:p>
            <w:pPr>
              <w:pStyle w:val="TableParagraph"/>
              <w:ind w:right="13"/>
              <w:rPr>
                <w:sz w:val="14"/>
              </w:rPr>
            </w:pPr>
            <w:r>
              <w:rPr>
                <w:w w:val="95"/>
                <w:sz w:val="14"/>
              </w:rPr>
              <w:t>1,36%</w:t>
            </w:r>
          </w:p>
        </w:tc>
      </w:tr>
      <w:tr>
        <w:trPr>
          <w:trHeight w:val="160" w:hRule="atLeast"/>
        </w:trPr>
        <w:tc>
          <w:tcPr>
            <w:tcW w:w="7663" w:type="dxa"/>
            <w:gridSpan w:val="2"/>
          </w:tcPr>
          <w:p>
            <w:pPr>
              <w:pStyle w:val="TableParagraph"/>
              <w:spacing w:line="135" w:lineRule="exact" w:before="5"/>
              <w:ind w:left="28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6. Encargo de Servicio de Gestión de Medidas de Apoyo a Personas Curateladas</w:t>
            </w:r>
          </w:p>
        </w:tc>
        <w:tc>
          <w:tcPr>
            <w:tcW w:w="1258" w:type="dxa"/>
          </w:tcPr>
          <w:p>
            <w:pPr>
              <w:pStyle w:val="TableParagraph"/>
              <w:spacing w:line="140" w:lineRule="exact"/>
              <w:ind w:right="11"/>
              <w:rPr>
                <w:b/>
                <w:sz w:val="14"/>
              </w:rPr>
            </w:pPr>
            <w:r>
              <w:rPr>
                <w:b/>
                <w:sz w:val="14"/>
              </w:rPr>
              <w:t>4.150.000,00 €</w:t>
            </w:r>
          </w:p>
        </w:tc>
        <w:tc>
          <w:tcPr>
            <w:tcW w:w="684" w:type="dxa"/>
          </w:tcPr>
          <w:p>
            <w:pPr>
              <w:pStyle w:val="TableParagraph"/>
              <w:spacing w:line="140" w:lineRule="exact"/>
              <w:ind w:right="11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35,56%</w:t>
            </w:r>
          </w:p>
        </w:tc>
      </w:tr>
      <w:tr>
        <w:trPr>
          <w:trHeight w:val="157" w:hRule="atLeast"/>
        </w:trPr>
        <w:tc>
          <w:tcPr>
            <w:tcW w:w="795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6868" w:type="dxa"/>
          </w:tcPr>
          <w:p>
            <w:pPr>
              <w:pStyle w:val="TableParagraph"/>
              <w:spacing w:line="137" w:lineRule="exact"/>
              <w:ind w:left="28"/>
              <w:jc w:val="left"/>
              <w:rPr>
                <w:sz w:val="14"/>
              </w:rPr>
            </w:pPr>
            <w:r>
              <w:rPr>
                <w:sz w:val="14"/>
              </w:rPr>
              <w:t>D. Gral. de Mayores y Participación Activa</w:t>
            </w:r>
          </w:p>
        </w:tc>
        <w:tc>
          <w:tcPr>
            <w:tcW w:w="1258" w:type="dxa"/>
          </w:tcPr>
          <w:p>
            <w:pPr>
              <w:pStyle w:val="TableParagraph"/>
              <w:ind w:right="11"/>
              <w:rPr>
                <w:sz w:val="14"/>
              </w:rPr>
            </w:pPr>
            <w:r>
              <w:rPr>
                <w:sz w:val="14"/>
              </w:rPr>
              <w:t>4.150.000,00 €</w:t>
            </w:r>
          </w:p>
        </w:tc>
        <w:tc>
          <w:tcPr>
            <w:tcW w:w="684" w:type="dxa"/>
          </w:tcPr>
          <w:p>
            <w:pPr>
              <w:pStyle w:val="TableParagraph"/>
              <w:ind w:right="13"/>
              <w:rPr>
                <w:sz w:val="14"/>
              </w:rPr>
            </w:pPr>
            <w:r>
              <w:rPr>
                <w:w w:val="95"/>
                <w:sz w:val="14"/>
              </w:rPr>
              <w:t>35,56%</w:t>
            </w:r>
          </w:p>
        </w:tc>
      </w:tr>
      <w:tr>
        <w:trPr>
          <w:trHeight w:val="179" w:hRule="atLeast"/>
        </w:trPr>
        <w:tc>
          <w:tcPr>
            <w:tcW w:w="7663" w:type="dxa"/>
            <w:gridSpan w:val="2"/>
          </w:tcPr>
          <w:p>
            <w:pPr>
              <w:pStyle w:val="TableParagraph"/>
              <w:spacing w:line="154" w:lineRule="exact" w:before="5"/>
              <w:ind w:left="28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7. Encargo Servicio de Gestión de laTramitación de los Títulos de Familia Numerosa</w:t>
            </w:r>
          </w:p>
        </w:tc>
        <w:tc>
          <w:tcPr>
            <w:tcW w:w="1258" w:type="dxa"/>
          </w:tcPr>
          <w:p>
            <w:pPr>
              <w:pStyle w:val="TableParagraph"/>
              <w:spacing w:line="152" w:lineRule="exact" w:before="7"/>
              <w:ind w:right="11"/>
              <w:rPr>
                <w:b/>
                <w:sz w:val="14"/>
              </w:rPr>
            </w:pPr>
            <w:r>
              <w:rPr>
                <w:b/>
                <w:sz w:val="14"/>
              </w:rPr>
              <w:t>123.766,37 €</w:t>
            </w:r>
          </w:p>
        </w:tc>
        <w:tc>
          <w:tcPr>
            <w:tcW w:w="684" w:type="dxa"/>
          </w:tcPr>
          <w:p>
            <w:pPr>
              <w:pStyle w:val="TableParagraph"/>
              <w:spacing w:line="152" w:lineRule="exact" w:before="7"/>
              <w:ind w:right="11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1,06%</w:t>
            </w:r>
          </w:p>
        </w:tc>
      </w:tr>
      <w:tr>
        <w:trPr>
          <w:trHeight w:val="179" w:hRule="atLeast"/>
        </w:trPr>
        <w:tc>
          <w:tcPr>
            <w:tcW w:w="795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6868" w:type="dxa"/>
          </w:tcPr>
          <w:p>
            <w:pPr>
              <w:pStyle w:val="TableParagraph"/>
              <w:spacing w:line="159" w:lineRule="exact"/>
              <w:ind w:left="28"/>
              <w:jc w:val="left"/>
              <w:rPr>
                <w:sz w:val="14"/>
              </w:rPr>
            </w:pPr>
            <w:r>
              <w:rPr>
                <w:sz w:val="14"/>
              </w:rPr>
              <w:t>Dirección General de Protección a la Infancia y las Familias</w:t>
            </w:r>
          </w:p>
        </w:tc>
        <w:tc>
          <w:tcPr>
            <w:tcW w:w="1258" w:type="dxa"/>
          </w:tcPr>
          <w:p>
            <w:pPr>
              <w:pStyle w:val="TableParagraph"/>
              <w:spacing w:line="142" w:lineRule="exact" w:before="17"/>
              <w:ind w:right="11"/>
              <w:rPr>
                <w:sz w:val="14"/>
              </w:rPr>
            </w:pPr>
            <w:r>
              <w:rPr>
                <w:sz w:val="14"/>
              </w:rPr>
              <w:t>123.766,37 €</w:t>
            </w:r>
          </w:p>
        </w:tc>
        <w:tc>
          <w:tcPr>
            <w:tcW w:w="684" w:type="dxa"/>
          </w:tcPr>
          <w:p>
            <w:pPr>
              <w:pStyle w:val="TableParagraph"/>
              <w:spacing w:line="142" w:lineRule="exact" w:before="17"/>
              <w:ind w:right="13"/>
              <w:rPr>
                <w:sz w:val="14"/>
              </w:rPr>
            </w:pPr>
            <w:r>
              <w:rPr>
                <w:w w:val="95"/>
                <w:sz w:val="14"/>
              </w:rPr>
              <w:t>1,06%</w:t>
            </w:r>
          </w:p>
        </w:tc>
      </w:tr>
      <w:tr>
        <w:trPr>
          <w:trHeight w:val="362" w:hRule="atLeast"/>
        </w:trPr>
        <w:tc>
          <w:tcPr>
            <w:tcW w:w="7663" w:type="dxa"/>
            <w:gridSpan w:val="2"/>
          </w:tcPr>
          <w:p>
            <w:pPr>
              <w:pStyle w:val="TableParagraph"/>
              <w:spacing w:line="240" w:lineRule="auto" w:before="5"/>
              <w:ind w:left="28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8. Encargo Servicio de Elaboración de la Propuesta del Programa Individual de Atención para Personas</w:t>
            </w:r>
          </w:p>
          <w:p>
            <w:pPr>
              <w:pStyle w:val="TableParagraph"/>
              <w:spacing w:line="157" w:lineRule="exact" w:before="19"/>
              <w:ind w:left="28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Solicitantes que cuenten con Grado de Dependencia Reconocido</w:t>
            </w:r>
          </w:p>
        </w:tc>
        <w:tc>
          <w:tcPr>
            <w:tcW w:w="1258" w:type="dxa"/>
          </w:tcPr>
          <w:p>
            <w:pPr>
              <w:pStyle w:val="TableParagraph"/>
              <w:spacing w:line="240" w:lineRule="auto" w:before="99"/>
              <w:ind w:right="11"/>
              <w:rPr>
                <w:b/>
                <w:sz w:val="14"/>
              </w:rPr>
            </w:pPr>
            <w:r>
              <w:rPr>
                <w:b/>
                <w:sz w:val="14"/>
              </w:rPr>
              <w:t>1.477.463,92 €</w:t>
            </w:r>
          </w:p>
        </w:tc>
        <w:tc>
          <w:tcPr>
            <w:tcW w:w="684" w:type="dxa"/>
          </w:tcPr>
          <w:p>
            <w:pPr>
              <w:pStyle w:val="TableParagraph"/>
              <w:spacing w:line="240" w:lineRule="auto" w:before="4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spacing w:line="142" w:lineRule="exact"/>
              <w:ind w:right="11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12,66%</w:t>
            </w:r>
          </w:p>
        </w:tc>
      </w:tr>
      <w:tr>
        <w:trPr>
          <w:trHeight w:val="157" w:hRule="atLeast"/>
        </w:trPr>
        <w:tc>
          <w:tcPr>
            <w:tcW w:w="795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6868" w:type="dxa"/>
          </w:tcPr>
          <w:p>
            <w:pPr>
              <w:pStyle w:val="TableParagraph"/>
              <w:spacing w:line="137" w:lineRule="exact"/>
              <w:ind w:left="28"/>
              <w:jc w:val="left"/>
              <w:rPr>
                <w:sz w:val="14"/>
              </w:rPr>
            </w:pPr>
            <w:r>
              <w:rPr>
                <w:sz w:val="14"/>
              </w:rPr>
              <w:t>Dirección General de Dependencia</w:t>
            </w:r>
          </w:p>
        </w:tc>
        <w:tc>
          <w:tcPr>
            <w:tcW w:w="1258" w:type="dxa"/>
          </w:tcPr>
          <w:p>
            <w:pPr>
              <w:pStyle w:val="TableParagraph"/>
              <w:ind w:right="11"/>
              <w:rPr>
                <w:sz w:val="14"/>
              </w:rPr>
            </w:pPr>
            <w:r>
              <w:rPr>
                <w:sz w:val="14"/>
              </w:rPr>
              <w:t>1.477.463,92 €</w:t>
            </w:r>
          </w:p>
        </w:tc>
        <w:tc>
          <w:tcPr>
            <w:tcW w:w="684" w:type="dxa"/>
          </w:tcPr>
          <w:p>
            <w:pPr>
              <w:pStyle w:val="TableParagraph"/>
              <w:ind w:right="13"/>
              <w:rPr>
                <w:sz w:val="14"/>
              </w:rPr>
            </w:pPr>
            <w:r>
              <w:rPr>
                <w:w w:val="95"/>
                <w:sz w:val="14"/>
              </w:rPr>
              <w:t>12,66%</w:t>
            </w:r>
          </w:p>
        </w:tc>
      </w:tr>
      <w:tr>
        <w:trPr>
          <w:trHeight w:val="179" w:hRule="atLeast"/>
        </w:trPr>
        <w:tc>
          <w:tcPr>
            <w:tcW w:w="7663" w:type="dxa"/>
            <w:gridSpan w:val="2"/>
          </w:tcPr>
          <w:p>
            <w:pPr>
              <w:pStyle w:val="TableParagraph"/>
              <w:spacing w:line="154" w:lineRule="exact" w:before="5"/>
              <w:ind w:left="28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9. Encargo Bicácaro, Programa para la Igualdad y Diversidad de los Centros Educativos</w:t>
            </w:r>
          </w:p>
        </w:tc>
        <w:tc>
          <w:tcPr>
            <w:tcW w:w="1258" w:type="dxa"/>
          </w:tcPr>
          <w:p>
            <w:pPr>
              <w:pStyle w:val="TableParagraph"/>
              <w:spacing w:line="142" w:lineRule="exact" w:before="17"/>
              <w:ind w:right="11"/>
              <w:rPr>
                <w:b/>
                <w:sz w:val="14"/>
              </w:rPr>
            </w:pPr>
            <w:r>
              <w:rPr>
                <w:b/>
                <w:sz w:val="14"/>
              </w:rPr>
              <w:t>71.561,38 €</w:t>
            </w:r>
          </w:p>
        </w:tc>
        <w:tc>
          <w:tcPr>
            <w:tcW w:w="684" w:type="dxa"/>
          </w:tcPr>
          <w:p>
            <w:pPr>
              <w:pStyle w:val="TableParagraph"/>
              <w:spacing w:line="142" w:lineRule="exact" w:before="17"/>
              <w:ind w:right="11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0,61%</w:t>
            </w:r>
          </w:p>
        </w:tc>
      </w:tr>
      <w:tr>
        <w:trPr>
          <w:trHeight w:val="174" w:hRule="atLeast"/>
        </w:trPr>
        <w:tc>
          <w:tcPr>
            <w:tcW w:w="795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6868" w:type="dxa"/>
          </w:tcPr>
          <w:p>
            <w:pPr>
              <w:pStyle w:val="TableParagraph"/>
              <w:spacing w:line="154" w:lineRule="exact"/>
              <w:ind w:left="28"/>
              <w:jc w:val="left"/>
              <w:rPr>
                <w:sz w:val="14"/>
              </w:rPr>
            </w:pPr>
            <w:r>
              <w:rPr>
                <w:sz w:val="14"/>
              </w:rPr>
              <w:t>Viceconsejeria de Igualdad y Diversidad</w:t>
            </w:r>
          </w:p>
        </w:tc>
        <w:tc>
          <w:tcPr>
            <w:tcW w:w="1258" w:type="dxa"/>
          </w:tcPr>
          <w:p>
            <w:pPr>
              <w:pStyle w:val="TableParagraph"/>
              <w:spacing w:line="142" w:lineRule="exact" w:before="12"/>
              <w:ind w:right="11"/>
              <w:rPr>
                <w:sz w:val="14"/>
              </w:rPr>
            </w:pPr>
            <w:r>
              <w:rPr>
                <w:sz w:val="14"/>
              </w:rPr>
              <w:t>71.561,38 €</w:t>
            </w:r>
          </w:p>
        </w:tc>
        <w:tc>
          <w:tcPr>
            <w:tcW w:w="684" w:type="dxa"/>
          </w:tcPr>
          <w:p>
            <w:pPr>
              <w:pStyle w:val="TableParagraph"/>
              <w:spacing w:line="142" w:lineRule="exact" w:before="12"/>
              <w:ind w:right="13"/>
              <w:rPr>
                <w:sz w:val="14"/>
              </w:rPr>
            </w:pPr>
            <w:r>
              <w:rPr>
                <w:w w:val="95"/>
                <w:sz w:val="14"/>
              </w:rPr>
              <w:t>0,61%</w:t>
            </w:r>
          </w:p>
        </w:tc>
      </w:tr>
      <w:tr>
        <w:trPr>
          <w:trHeight w:val="174" w:hRule="atLeast"/>
        </w:trPr>
        <w:tc>
          <w:tcPr>
            <w:tcW w:w="7663" w:type="dxa"/>
            <w:gridSpan w:val="2"/>
          </w:tcPr>
          <w:p>
            <w:pPr>
              <w:pStyle w:val="TableParagraph"/>
              <w:spacing w:line="142" w:lineRule="exact" w:before="12"/>
              <w:ind w:left="28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10.Encargo Valoración Discapacidad</w:t>
            </w:r>
          </w:p>
        </w:tc>
        <w:tc>
          <w:tcPr>
            <w:tcW w:w="1258" w:type="dxa"/>
          </w:tcPr>
          <w:p>
            <w:pPr>
              <w:pStyle w:val="TableParagraph"/>
              <w:spacing w:line="142" w:lineRule="exact" w:before="12"/>
              <w:ind w:right="11"/>
              <w:rPr>
                <w:b/>
                <w:sz w:val="14"/>
              </w:rPr>
            </w:pPr>
            <w:r>
              <w:rPr>
                <w:b/>
                <w:sz w:val="14"/>
              </w:rPr>
              <w:t>887.840,90 €</w:t>
            </w:r>
          </w:p>
        </w:tc>
        <w:tc>
          <w:tcPr>
            <w:tcW w:w="684" w:type="dxa"/>
          </w:tcPr>
          <w:p>
            <w:pPr>
              <w:pStyle w:val="TableParagraph"/>
              <w:spacing w:line="142" w:lineRule="exact" w:before="12"/>
              <w:ind w:right="11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7,61%</w:t>
            </w:r>
          </w:p>
        </w:tc>
      </w:tr>
      <w:tr>
        <w:trPr>
          <w:trHeight w:val="174" w:hRule="atLeast"/>
        </w:trPr>
        <w:tc>
          <w:tcPr>
            <w:tcW w:w="795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6868" w:type="dxa"/>
          </w:tcPr>
          <w:p>
            <w:pPr>
              <w:pStyle w:val="TableParagraph"/>
              <w:spacing w:line="154" w:lineRule="exact"/>
              <w:ind w:left="28"/>
              <w:jc w:val="left"/>
              <w:rPr>
                <w:sz w:val="14"/>
              </w:rPr>
            </w:pPr>
            <w:r>
              <w:rPr>
                <w:sz w:val="14"/>
              </w:rPr>
              <w:t>Dirección General Discapacidad</w:t>
            </w:r>
          </w:p>
        </w:tc>
        <w:tc>
          <w:tcPr>
            <w:tcW w:w="1258" w:type="dxa"/>
          </w:tcPr>
          <w:p>
            <w:pPr>
              <w:pStyle w:val="TableParagraph"/>
              <w:spacing w:line="142" w:lineRule="exact" w:before="12"/>
              <w:ind w:right="11"/>
              <w:rPr>
                <w:sz w:val="14"/>
              </w:rPr>
            </w:pPr>
            <w:r>
              <w:rPr>
                <w:sz w:val="14"/>
              </w:rPr>
              <w:t>887.840,90 €</w:t>
            </w:r>
          </w:p>
        </w:tc>
        <w:tc>
          <w:tcPr>
            <w:tcW w:w="684" w:type="dxa"/>
          </w:tcPr>
          <w:p>
            <w:pPr>
              <w:pStyle w:val="TableParagraph"/>
              <w:spacing w:line="142" w:lineRule="exact" w:before="12"/>
              <w:ind w:right="13"/>
              <w:rPr>
                <w:sz w:val="14"/>
              </w:rPr>
            </w:pPr>
            <w:r>
              <w:rPr>
                <w:w w:val="95"/>
                <w:sz w:val="14"/>
              </w:rPr>
              <w:t>7,61%</w:t>
            </w:r>
          </w:p>
        </w:tc>
      </w:tr>
      <w:tr>
        <w:trPr>
          <w:trHeight w:val="157" w:hRule="atLeast"/>
        </w:trPr>
        <w:tc>
          <w:tcPr>
            <w:tcW w:w="7663" w:type="dxa"/>
            <w:gridSpan w:val="2"/>
          </w:tcPr>
          <w:p>
            <w:pPr>
              <w:pStyle w:val="TableParagraph"/>
              <w:spacing w:line="133" w:lineRule="exact" w:before="5"/>
              <w:ind w:left="28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B) Otros Ingresos:</w:t>
            </w:r>
          </w:p>
        </w:tc>
        <w:tc>
          <w:tcPr>
            <w:tcW w:w="1258" w:type="dxa"/>
          </w:tcPr>
          <w:p>
            <w:pPr>
              <w:pStyle w:val="TableParagraph"/>
              <w:ind w:right="11"/>
              <w:rPr>
                <w:b/>
                <w:sz w:val="14"/>
              </w:rPr>
            </w:pPr>
            <w:r>
              <w:rPr>
                <w:b/>
                <w:sz w:val="14"/>
              </w:rPr>
              <w:t>410.354,70 €</w:t>
            </w:r>
          </w:p>
        </w:tc>
        <w:tc>
          <w:tcPr>
            <w:tcW w:w="684" w:type="dxa"/>
          </w:tcPr>
          <w:p>
            <w:pPr>
              <w:pStyle w:val="TableParagraph"/>
              <w:ind w:right="11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3,52%</w:t>
            </w:r>
          </w:p>
        </w:tc>
      </w:tr>
      <w:tr>
        <w:trPr>
          <w:trHeight w:val="157" w:hRule="atLeast"/>
        </w:trPr>
        <w:tc>
          <w:tcPr>
            <w:tcW w:w="795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6868" w:type="dxa"/>
          </w:tcPr>
          <w:p>
            <w:pPr>
              <w:pStyle w:val="TableParagraph"/>
              <w:spacing w:line="137" w:lineRule="exact"/>
              <w:ind w:left="28"/>
              <w:jc w:val="left"/>
              <w:rPr>
                <w:sz w:val="14"/>
              </w:rPr>
            </w:pPr>
            <w:r>
              <w:rPr>
                <w:sz w:val="14"/>
              </w:rPr>
              <w:t>1. Ingresos Varios de la Actividad</w:t>
            </w:r>
          </w:p>
        </w:tc>
        <w:tc>
          <w:tcPr>
            <w:tcW w:w="1258" w:type="dxa"/>
          </w:tcPr>
          <w:p>
            <w:pPr>
              <w:pStyle w:val="TableParagraph"/>
              <w:ind w:right="11"/>
              <w:rPr>
                <w:sz w:val="14"/>
              </w:rPr>
            </w:pPr>
            <w:r>
              <w:rPr>
                <w:sz w:val="14"/>
              </w:rPr>
              <w:t>109.549,56 €</w:t>
            </w:r>
          </w:p>
        </w:tc>
        <w:tc>
          <w:tcPr>
            <w:tcW w:w="684" w:type="dxa"/>
          </w:tcPr>
          <w:p>
            <w:pPr>
              <w:pStyle w:val="TableParagraph"/>
              <w:ind w:right="13"/>
              <w:rPr>
                <w:sz w:val="14"/>
              </w:rPr>
            </w:pPr>
            <w:r>
              <w:rPr>
                <w:w w:val="95"/>
                <w:sz w:val="14"/>
              </w:rPr>
              <w:t>0,94%</w:t>
            </w:r>
          </w:p>
        </w:tc>
      </w:tr>
      <w:tr>
        <w:trPr>
          <w:trHeight w:val="157" w:hRule="atLeast"/>
        </w:trPr>
        <w:tc>
          <w:tcPr>
            <w:tcW w:w="795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6868" w:type="dxa"/>
          </w:tcPr>
          <w:p>
            <w:pPr>
              <w:pStyle w:val="TableParagraph"/>
              <w:spacing w:line="137" w:lineRule="exact"/>
              <w:ind w:left="28"/>
              <w:jc w:val="left"/>
              <w:rPr>
                <w:sz w:val="14"/>
              </w:rPr>
            </w:pPr>
            <w:r>
              <w:rPr>
                <w:sz w:val="14"/>
              </w:rPr>
              <w:t>2. Subvenciones, Donaciones, Legados de Capital Traspasados</w:t>
            </w:r>
          </w:p>
        </w:tc>
        <w:tc>
          <w:tcPr>
            <w:tcW w:w="1258" w:type="dxa"/>
          </w:tcPr>
          <w:p>
            <w:pPr>
              <w:pStyle w:val="TableParagraph"/>
              <w:ind w:right="11"/>
              <w:rPr>
                <w:sz w:val="14"/>
              </w:rPr>
            </w:pPr>
            <w:r>
              <w:rPr>
                <w:sz w:val="14"/>
              </w:rPr>
              <w:t>300.805,14 €</w:t>
            </w:r>
          </w:p>
        </w:tc>
        <w:tc>
          <w:tcPr>
            <w:tcW w:w="684" w:type="dxa"/>
          </w:tcPr>
          <w:p>
            <w:pPr>
              <w:pStyle w:val="TableParagraph"/>
              <w:ind w:right="13"/>
              <w:rPr>
                <w:sz w:val="14"/>
              </w:rPr>
            </w:pPr>
            <w:r>
              <w:rPr>
                <w:w w:val="95"/>
                <w:sz w:val="14"/>
              </w:rPr>
              <w:t>2,58%</w:t>
            </w:r>
          </w:p>
        </w:tc>
      </w:tr>
      <w:tr>
        <w:trPr>
          <w:trHeight w:val="157" w:hRule="atLeast"/>
        </w:trPr>
        <w:tc>
          <w:tcPr>
            <w:tcW w:w="795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6868" w:type="dxa"/>
          </w:tcPr>
          <w:p>
            <w:pPr>
              <w:pStyle w:val="TableParagraph"/>
              <w:spacing w:line="137" w:lineRule="exact"/>
              <w:ind w:left="28"/>
              <w:jc w:val="left"/>
              <w:rPr>
                <w:sz w:val="14"/>
              </w:rPr>
            </w:pPr>
            <w:r>
              <w:rPr>
                <w:sz w:val="14"/>
              </w:rPr>
              <w:t>3. Otros Ingresos de Gestión</w:t>
            </w:r>
          </w:p>
        </w:tc>
        <w:tc>
          <w:tcPr>
            <w:tcW w:w="1258" w:type="dxa"/>
          </w:tcPr>
          <w:p>
            <w:pPr>
              <w:pStyle w:val="TableParagraph"/>
              <w:ind w:right="11"/>
              <w:rPr>
                <w:sz w:val="14"/>
              </w:rPr>
            </w:pPr>
            <w:r>
              <w:rPr>
                <w:sz w:val="14"/>
              </w:rPr>
              <w:t>0,00 €</w:t>
            </w:r>
          </w:p>
        </w:tc>
        <w:tc>
          <w:tcPr>
            <w:tcW w:w="684" w:type="dxa"/>
          </w:tcPr>
          <w:p>
            <w:pPr>
              <w:pStyle w:val="TableParagraph"/>
              <w:ind w:right="13"/>
              <w:rPr>
                <w:sz w:val="14"/>
              </w:rPr>
            </w:pPr>
            <w:r>
              <w:rPr>
                <w:w w:val="95"/>
                <w:sz w:val="14"/>
              </w:rPr>
              <w:t>0,00%</w:t>
            </w:r>
          </w:p>
        </w:tc>
      </w:tr>
      <w:tr>
        <w:trPr>
          <w:trHeight w:val="157" w:hRule="atLeast"/>
        </w:trPr>
        <w:tc>
          <w:tcPr>
            <w:tcW w:w="795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6868" w:type="dxa"/>
          </w:tcPr>
          <w:p>
            <w:pPr>
              <w:pStyle w:val="TableParagraph"/>
              <w:spacing w:line="137" w:lineRule="exact"/>
              <w:ind w:left="28"/>
              <w:jc w:val="left"/>
              <w:rPr>
                <w:sz w:val="14"/>
              </w:rPr>
            </w:pPr>
            <w:r>
              <w:rPr>
                <w:color w:val="444444"/>
                <w:sz w:val="14"/>
              </w:rPr>
              <w:t>4. Ingresos Financieros</w:t>
            </w:r>
          </w:p>
        </w:tc>
        <w:tc>
          <w:tcPr>
            <w:tcW w:w="1258" w:type="dxa"/>
          </w:tcPr>
          <w:p>
            <w:pPr>
              <w:pStyle w:val="TableParagraph"/>
              <w:ind w:right="11"/>
              <w:rPr>
                <w:sz w:val="14"/>
              </w:rPr>
            </w:pPr>
            <w:r>
              <w:rPr>
                <w:sz w:val="14"/>
              </w:rPr>
              <w:t>0,00 €</w:t>
            </w:r>
          </w:p>
        </w:tc>
        <w:tc>
          <w:tcPr>
            <w:tcW w:w="684" w:type="dxa"/>
          </w:tcPr>
          <w:p>
            <w:pPr>
              <w:pStyle w:val="TableParagraph"/>
              <w:ind w:right="13"/>
              <w:rPr>
                <w:sz w:val="14"/>
              </w:rPr>
            </w:pPr>
            <w:r>
              <w:rPr>
                <w:w w:val="95"/>
                <w:sz w:val="14"/>
              </w:rPr>
              <w:t>0,00%</w:t>
            </w:r>
          </w:p>
        </w:tc>
      </w:tr>
      <w:tr>
        <w:trPr>
          <w:trHeight w:val="157" w:hRule="atLeast"/>
        </w:trPr>
        <w:tc>
          <w:tcPr>
            <w:tcW w:w="7663" w:type="dxa"/>
            <w:gridSpan w:val="2"/>
          </w:tcPr>
          <w:p>
            <w:pPr>
              <w:pStyle w:val="TableParagraph"/>
              <w:spacing w:line="133" w:lineRule="exact" w:before="5"/>
              <w:ind w:left="28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INGRESOS</w:t>
            </w:r>
          </w:p>
        </w:tc>
        <w:tc>
          <w:tcPr>
            <w:tcW w:w="1258" w:type="dxa"/>
          </w:tcPr>
          <w:p>
            <w:pPr>
              <w:pStyle w:val="TableParagraph"/>
              <w:ind w:right="11"/>
              <w:rPr>
                <w:b/>
                <w:sz w:val="14"/>
              </w:rPr>
            </w:pPr>
            <w:r>
              <w:rPr>
                <w:b/>
                <w:sz w:val="14"/>
              </w:rPr>
              <w:t>11.669.395,18 €</w:t>
            </w:r>
          </w:p>
        </w:tc>
        <w:tc>
          <w:tcPr>
            <w:tcW w:w="684" w:type="dxa"/>
          </w:tcPr>
          <w:p>
            <w:pPr>
              <w:pStyle w:val="TableParagraph"/>
              <w:ind w:right="11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100,00%</w:t>
            </w:r>
          </w:p>
        </w:tc>
      </w:tr>
    </w:tbl>
    <w:p>
      <w:pPr>
        <w:spacing w:line="240" w:lineRule="auto" w:before="0"/>
        <w:rPr>
          <w:b/>
          <w:sz w:val="16"/>
        </w:rPr>
      </w:pPr>
    </w:p>
    <w:p>
      <w:pPr>
        <w:spacing w:line="240" w:lineRule="auto" w:before="0"/>
        <w:rPr>
          <w:b/>
          <w:sz w:val="16"/>
        </w:rPr>
      </w:pPr>
    </w:p>
    <w:p>
      <w:pPr>
        <w:spacing w:line="240" w:lineRule="auto" w:before="0"/>
        <w:rPr>
          <w:b/>
          <w:sz w:val="16"/>
        </w:rPr>
      </w:pPr>
    </w:p>
    <w:p>
      <w:pPr>
        <w:spacing w:line="240" w:lineRule="auto" w:before="0"/>
        <w:rPr>
          <w:b/>
          <w:sz w:val="16"/>
        </w:rPr>
      </w:pPr>
    </w:p>
    <w:p>
      <w:pPr>
        <w:spacing w:line="240" w:lineRule="auto" w:before="0"/>
        <w:rPr>
          <w:b/>
          <w:sz w:val="16"/>
        </w:rPr>
      </w:pPr>
    </w:p>
    <w:p>
      <w:pPr>
        <w:spacing w:line="240" w:lineRule="auto" w:before="0"/>
        <w:rPr>
          <w:b/>
          <w:sz w:val="16"/>
        </w:rPr>
      </w:pPr>
    </w:p>
    <w:p>
      <w:pPr>
        <w:spacing w:line="240" w:lineRule="auto" w:before="0"/>
        <w:rPr>
          <w:b/>
          <w:sz w:val="16"/>
        </w:rPr>
      </w:pPr>
    </w:p>
    <w:p>
      <w:pPr>
        <w:spacing w:line="240" w:lineRule="auto" w:before="0"/>
        <w:rPr>
          <w:b/>
          <w:sz w:val="16"/>
        </w:rPr>
      </w:pPr>
    </w:p>
    <w:p>
      <w:pPr>
        <w:spacing w:line="240" w:lineRule="auto" w:before="0"/>
        <w:rPr>
          <w:b/>
          <w:sz w:val="16"/>
        </w:rPr>
      </w:pPr>
    </w:p>
    <w:p>
      <w:pPr>
        <w:spacing w:line="240" w:lineRule="auto" w:before="0"/>
        <w:rPr>
          <w:b/>
          <w:sz w:val="16"/>
        </w:rPr>
      </w:pPr>
    </w:p>
    <w:p>
      <w:pPr>
        <w:spacing w:line="240" w:lineRule="auto" w:before="0"/>
        <w:rPr>
          <w:b/>
          <w:sz w:val="21"/>
        </w:rPr>
      </w:pPr>
    </w:p>
    <w:p>
      <w:pPr>
        <w:spacing w:before="0"/>
        <w:ind w:left="0" w:right="114" w:firstLine="0"/>
        <w:jc w:val="right"/>
        <w:rPr>
          <w:sz w:val="14"/>
        </w:rPr>
      </w:pPr>
      <w:r>
        <w:rPr>
          <w:sz w:val="14"/>
        </w:rPr>
        <w:t>1/1</w:t>
      </w:r>
    </w:p>
    <w:sectPr>
      <w:type w:val="continuous"/>
      <w:pgSz w:w="11910" w:h="16840"/>
      <w:pgMar w:top="1340" w:bottom="0" w:left="960" w:right="9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en-US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b/>
      <w:bCs/>
      <w:sz w:val="14"/>
      <w:szCs w:val="14"/>
      <w:lang w:val="en-US" w:eastAsia="en-US" w:bidi="en-US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en-US"/>
    </w:rPr>
  </w:style>
  <w:style w:styleId="TableParagraph" w:type="paragraph">
    <w:name w:val="Table Paragraph"/>
    <w:basedOn w:val="Normal"/>
    <w:uiPriority w:val="1"/>
    <w:qFormat/>
    <w:pPr>
      <w:spacing w:line="138" w:lineRule="exact"/>
      <w:jc w:val="right"/>
    </w:pPr>
    <w:rPr>
      <w:rFonts w:ascii="Arial" w:hAnsi="Arial" w:eastAsia="Arial" w:cs="Arial"/>
      <w:lang w:val="en-US"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dcterms:created xsi:type="dcterms:W3CDTF">2026-04-16T14:51:03Z</dcterms:created>
  <dcterms:modified xsi:type="dcterms:W3CDTF">2026-04-16T14:51:03Z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2026-04-16T00:00:00Z</vt:filetime>
  </property>
  <property fmtid="{D5CDD505-2E9C-101B-9397-08002B2CF9AE}" pid="3" name="LastSaved">
    <vt:filetime>2026-04-16T00:00:00Z</vt:filetime>
  </property>
</Properties>
</file>