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sz w:val="20"/>
        </w:rPr>
      </w:pPr>
      <w:r>
        <w:rPr/>
        <w:drawing>
          <wp:anchor distT="0" distB="0" distL="0" distR="0" allowOverlap="1" layoutInCell="1" locked="0" behindDoc="1" simplePos="0" relativeHeight="251036672">
            <wp:simplePos x="0" y="0"/>
            <wp:positionH relativeFrom="page">
              <wp:posOffset>0</wp:posOffset>
            </wp:positionH>
            <wp:positionV relativeFrom="page">
              <wp:posOffset>635</wp:posOffset>
            </wp:positionV>
            <wp:extent cx="7558405" cy="10691748"/>
            <wp:effectExtent l="0" t="0" r="0" b="0"/>
            <wp:wrapNone/>
            <wp:docPr id="1" name="image1.png"/>
            <wp:cNvGraphicFramePr>
              <a:graphicFrameLocks noChangeAspect="1"/>
            </wp:cNvGraphicFramePr>
            <a:graphic>
              <a:graphicData uri="http://schemas.openxmlformats.org/drawingml/2006/picture">
                <pic:pic>
                  <pic:nvPicPr>
                    <pic:cNvPr id="2" name="image1.png"/>
                    <pic:cNvPicPr/>
                  </pic:nvPicPr>
                  <pic:blipFill>
                    <a:blip r:embed="rId5" cstate="print"/>
                    <a:stretch>
                      <a:fillRect/>
                    </a:stretch>
                  </pic:blipFill>
                  <pic:spPr>
                    <a:xfrm>
                      <a:off x="0" y="0"/>
                      <a:ext cx="7558405" cy="10691748"/>
                    </a:xfrm>
                    <a:prstGeom prst="rect">
                      <a:avLst/>
                    </a:prstGeom>
                  </pic:spPr>
                </pic:pic>
              </a:graphicData>
            </a:graphic>
          </wp:anchor>
        </w:drawing>
      </w:r>
    </w:p>
    <w:p>
      <w:pPr>
        <w:pStyle w:val="BodyText"/>
        <w:rPr>
          <w:rFonts w:ascii="Times New Roman"/>
          <w:sz w:val="20"/>
        </w:rPr>
      </w:pPr>
    </w:p>
    <w:p>
      <w:pPr>
        <w:pStyle w:val="BodyText"/>
        <w:rPr>
          <w:rFonts w:ascii="Times New Roman"/>
          <w:sz w:val="20"/>
        </w:rPr>
      </w:pPr>
    </w:p>
    <w:p>
      <w:pPr>
        <w:pStyle w:val="BodyText"/>
        <w:spacing w:before="2"/>
        <w:rPr>
          <w:rFonts w:ascii="Times New Roman"/>
          <w:sz w:val="18"/>
        </w:rPr>
      </w:pPr>
    </w:p>
    <w:p>
      <w:pPr>
        <w:pStyle w:val="Heading2"/>
      </w:pPr>
      <w:r>
        <w:rPr/>
        <w:t>INFORME RELATIVO A LOS EXPEDIENTES DE CONTRATACIÓN CON TERCEROS Y PRÓRROGAS DE LOS CONTRATOS EN VIGOR DE LA FUNDACIÓN TUTELAR CANARIA PARA LA ACCIÓN SOCIAL, MP, DEL EJERCICIO 2025, DE CONFORMIDAD CON LA LEY 9/2017, DE 8 DE NOVIEMBRE, DE CONTRATOS DEL SECTOR PÚBLICO.</w:t>
      </w:r>
    </w:p>
    <w:p>
      <w:pPr>
        <w:pStyle w:val="BodyText"/>
        <w:rPr>
          <w:b/>
          <w:sz w:val="20"/>
        </w:rPr>
      </w:pPr>
    </w:p>
    <w:p>
      <w:pPr>
        <w:pStyle w:val="BodyText"/>
        <w:ind w:left="112" w:right="306"/>
        <w:jc w:val="both"/>
      </w:pPr>
      <w:r>
        <w:rPr/>
        <w:t>Fundación Tutelar Canaria para la Acción Social, MP (FUCAS), en el cumplimiento y realización de sus fines institucionales, contrata anualmente servicios con terceros, necesarios para la gestión de los Centros y Programas de la entidad.</w:t>
      </w:r>
    </w:p>
    <w:p>
      <w:pPr>
        <w:pStyle w:val="BodyText"/>
        <w:spacing w:before="11"/>
        <w:rPr>
          <w:sz w:val="18"/>
        </w:rPr>
      </w:pPr>
    </w:p>
    <w:p>
      <w:pPr>
        <w:pStyle w:val="BodyText"/>
        <w:ind w:left="112" w:right="305"/>
        <w:jc w:val="both"/>
      </w:pPr>
      <w:r>
        <w:rPr/>
        <w:t>En su actividad contractual esta Fundación se rige por los principios de libertad de acceso a las licitaciones, publicidad, transparencia</w:t>
      </w:r>
      <w:r>
        <w:rPr>
          <w:spacing w:val="-9"/>
        </w:rPr>
        <w:t> </w:t>
      </w:r>
      <w:r>
        <w:rPr/>
        <w:t>de</w:t>
      </w:r>
      <w:r>
        <w:rPr>
          <w:spacing w:val="-9"/>
        </w:rPr>
        <w:t> </w:t>
      </w:r>
      <w:r>
        <w:rPr/>
        <w:t>los</w:t>
      </w:r>
      <w:r>
        <w:rPr>
          <w:spacing w:val="-8"/>
        </w:rPr>
        <w:t> </w:t>
      </w:r>
      <w:r>
        <w:rPr/>
        <w:t>procedimientos</w:t>
      </w:r>
      <w:r>
        <w:rPr>
          <w:spacing w:val="-8"/>
        </w:rPr>
        <w:t> </w:t>
      </w:r>
      <w:r>
        <w:rPr/>
        <w:t>y</w:t>
      </w:r>
      <w:r>
        <w:rPr>
          <w:spacing w:val="-8"/>
        </w:rPr>
        <w:t> </w:t>
      </w:r>
      <w:r>
        <w:rPr/>
        <w:t>no</w:t>
      </w:r>
      <w:r>
        <w:rPr>
          <w:spacing w:val="-9"/>
        </w:rPr>
        <w:t> </w:t>
      </w:r>
      <w:r>
        <w:rPr/>
        <w:t>discriminación</w:t>
      </w:r>
      <w:r>
        <w:rPr>
          <w:spacing w:val="-10"/>
        </w:rPr>
        <w:t> </w:t>
      </w:r>
      <w:r>
        <w:rPr/>
        <w:t>e</w:t>
      </w:r>
      <w:r>
        <w:rPr>
          <w:spacing w:val="-9"/>
        </w:rPr>
        <w:t> </w:t>
      </w:r>
      <w:r>
        <w:rPr/>
        <w:t>igualdad</w:t>
      </w:r>
      <w:r>
        <w:rPr>
          <w:spacing w:val="-9"/>
        </w:rPr>
        <w:t> </w:t>
      </w:r>
      <w:r>
        <w:rPr/>
        <w:t>de</w:t>
      </w:r>
      <w:r>
        <w:rPr>
          <w:spacing w:val="-9"/>
        </w:rPr>
        <w:t> </w:t>
      </w:r>
      <w:r>
        <w:rPr/>
        <w:t>trato</w:t>
      </w:r>
      <w:r>
        <w:rPr>
          <w:spacing w:val="-9"/>
        </w:rPr>
        <w:t> </w:t>
      </w:r>
      <w:r>
        <w:rPr/>
        <w:t>entre</w:t>
      </w:r>
      <w:r>
        <w:rPr>
          <w:spacing w:val="-9"/>
        </w:rPr>
        <w:t> </w:t>
      </w:r>
      <w:r>
        <w:rPr/>
        <w:t>los</w:t>
      </w:r>
      <w:r>
        <w:rPr>
          <w:spacing w:val="-5"/>
        </w:rPr>
        <w:t> </w:t>
      </w:r>
      <w:r>
        <w:rPr/>
        <w:t>candidatos,</w:t>
      </w:r>
      <w:r>
        <w:rPr>
          <w:spacing w:val="-9"/>
        </w:rPr>
        <w:t> </w:t>
      </w:r>
      <w:r>
        <w:rPr/>
        <w:t>además</w:t>
      </w:r>
      <w:r>
        <w:rPr>
          <w:spacing w:val="-8"/>
        </w:rPr>
        <w:t> </w:t>
      </w:r>
      <w:r>
        <w:rPr/>
        <w:t>de</w:t>
      </w:r>
      <w:r>
        <w:rPr>
          <w:spacing w:val="-8"/>
        </w:rPr>
        <w:t> </w:t>
      </w:r>
      <w:r>
        <w:rPr/>
        <w:t>asegurar</w:t>
      </w:r>
      <w:r>
        <w:rPr>
          <w:spacing w:val="-9"/>
        </w:rPr>
        <w:t> </w:t>
      </w:r>
      <w:r>
        <w:rPr/>
        <w:t>una eficiente utilización de los fondos destinados a la</w:t>
      </w:r>
      <w:r>
        <w:rPr>
          <w:spacing w:val="-1"/>
        </w:rPr>
        <w:t> </w:t>
      </w:r>
      <w:r>
        <w:rPr/>
        <w:t>contratación.</w:t>
      </w:r>
    </w:p>
    <w:p>
      <w:pPr>
        <w:pStyle w:val="BodyText"/>
      </w:pPr>
    </w:p>
    <w:p>
      <w:pPr>
        <w:pStyle w:val="BodyText"/>
        <w:ind w:left="112" w:right="307"/>
        <w:jc w:val="both"/>
      </w:pPr>
      <w:r>
        <w:rPr/>
        <w:t>La mayoría de los contratos formalizados y pendientes de adjudicar obedecen, al igual que en el ejercicio anterior, a prestación de servicios.</w:t>
      </w:r>
    </w:p>
    <w:p>
      <w:pPr>
        <w:pStyle w:val="BodyText"/>
        <w:spacing w:before="11"/>
        <w:rPr>
          <w:sz w:val="18"/>
        </w:rPr>
      </w:pPr>
    </w:p>
    <w:p>
      <w:pPr>
        <w:pStyle w:val="BodyText"/>
        <w:ind w:left="112" w:right="305"/>
        <w:jc w:val="both"/>
      </w:pPr>
      <w:r>
        <w:rPr/>
        <w:t>La</w:t>
      </w:r>
      <w:r>
        <w:rPr>
          <w:spacing w:val="-7"/>
        </w:rPr>
        <w:t> </w:t>
      </w:r>
      <w:r>
        <w:rPr/>
        <w:t>Ley</w:t>
      </w:r>
      <w:r>
        <w:rPr>
          <w:spacing w:val="-5"/>
        </w:rPr>
        <w:t> </w:t>
      </w:r>
      <w:r>
        <w:rPr/>
        <w:t>de</w:t>
      </w:r>
      <w:r>
        <w:rPr>
          <w:spacing w:val="-6"/>
        </w:rPr>
        <w:t> </w:t>
      </w:r>
      <w:r>
        <w:rPr/>
        <w:t>Contratos</w:t>
      </w:r>
      <w:r>
        <w:rPr>
          <w:spacing w:val="-5"/>
        </w:rPr>
        <w:t> </w:t>
      </w:r>
      <w:r>
        <w:rPr/>
        <w:t>del</w:t>
      </w:r>
      <w:r>
        <w:rPr>
          <w:spacing w:val="-5"/>
        </w:rPr>
        <w:t> </w:t>
      </w:r>
      <w:r>
        <w:rPr/>
        <w:t>Sector</w:t>
      </w:r>
      <w:r>
        <w:rPr>
          <w:spacing w:val="-7"/>
        </w:rPr>
        <w:t> </w:t>
      </w:r>
      <w:r>
        <w:rPr/>
        <w:t>Público</w:t>
      </w:r>
      <w:r>
        <w:rPr>
          <w:spacing w:val="-6"/>
        </w:rPr>
        <w:t> </w:t>
      </w:r>
      <w:r>
        <w:rPr/>
        <w:t>(LCSP)</w:t>
      </w:r>
      <w:r>
        <w:rPr>
          <w:spacing w:val="-7"/>
        </w:rPr>
        <w:t> </w:t>
      </w:r>
      <w:r>
        <w:rPr/>
        <w:t>del</w:t>
      </w:r>
      <w:r>
        <w:rPr>
          <w:spacing w:val="-5"/>
        </w:rPr>
        <w:t> </w:t>
      </w:r>
      <w:r>
        <w:rPr/>
        <w:t>9</w:t>
      </w:r>
      <w:r>
        <w:rPr>
          <w:spacing w:val="-6"/>
        </w:rPr>
        <w:t> </w:t>
      </w:r>
      <w:r>
        <w:rPr/>
        <w:t>de</w:t>
      </w:r>
      <w:r>
        <w:rPr>
          <w:spacing w:val="-6"/>
        </w:rPr>
        <w:t> </w:t>
      </w:r>
      <w:r>
        <w:rPr/>
        <w:t>marzo</w:t>
      </w:r>
      <w:r>
        <w:rPr>
          <w:spacing w:val="-6"/>
        </w:rPr>
        <w:t> </w:t>
      </w:r>
      <w:r>
        <w:rPr/>
        <w:t>de</w:t>
      </w:r>
      <w:r>
        <w:rPr>
          <w:spacing w:val="-7"/>
        </w:rPr>
        <w:t> </w:t>
      </w:r>
      <w:r>
        <w:rPr/>
        <w:t>2018,</w:t>
      </w:r>
      <w:r>
        <w:rPr>
          <w:spacing w:val="-6"/>
        </w:rPr>
        <w:t> </w:t>
      </w:r>
      <w:r>
        <w:rPr/>
        <w:t>por</w:t>
      </w:r>
      <w:r>
        <w:rPr>
          <w:spacing w:val="-7"/>
        </w:rPr>
        <w:t> </w:t>
      </w:r>
      <w:r>
        <w:rPr/>
        <w:t>la</w:t>
      </w:r>
      <w:r>
        <w:rPr>
          <w:spacing w:val="-6"/>
        </w:rPr>
        <w:t> </w:t>
      </w:r>
      <w:r>
        <w:rPr/>
        <w:t>que</w:t>
      </w:r>
      <w:r>
        <w:rPr>
          <w:spacing w:val="-6"/>
        </w:rPr>
        <w:t> </w:t>
      </w:r>
      <w:r>
        <w:rPr/>
        <w:t>se</w:t>
      </w:r>
      <w:r>
        <w:rPr>
          <w:spacing w:val="-6"/>
        </w:rPr>
        <w:t> </w:t>
      </w:r>
      <w:r>
        <w:rPr/>
        <w:t>transponen</w:t>
      </w:r>
      <w:r>
        <w:rPr>
          <w:spacing w:val="-6"/>
        </w:rPr>
        <w:t> </w:t>
      </w:r>
      <w:r>
        <w:rPr/>
        <w:t>al</w:t>
      </w:r>
      <w:r>
        <w:rPr>
          <w:spacing w:val="-5"/>
        </w:rPr>
        <w:t> </w:t>
      </w:r>
      <w:r>
        <w:rPr/>
        <w:t>ordenamiento</w:t>
      </w:r>
      <w:r>
        <w:rPr>
          <w:spacing w:val="-6"/>
        </w:rPr>
        <w:t> </w:t>
      </w:r>
      <w:r>
        <w:rPr/>
        <w:t>jurídico español las Directivas del Parlamento Europeo y del Consejo 2014/23/UE y 2014/24/UE, de 26 de febrero de 2014, que rige</w:t>
      </w:r>
      <w:r>
        <w:rPr>
          <w:spacing w:val="-12"/>
        </w:rPr>
        <w:t> </w:t>
      </w:r>
      <w:r>
        <w:rPr/>
        <w:t>la</w:t>
      </w:r>
      <w:r>
        <w:rPr>
          <w:spacing w:val="-11"/>
        </w:rPr>
        <w:t> </w:t>
      </w:r>
      <w:r>
        <w:rPr/>
        <w:t>contratación</w:t>
      </w:r>
      <w:r>
        <w:rPr>
          <w:spacing w:val="-11"/>
        </w:rPr>
        <w:t> </w:t>
      </w:r>
      <w:r>
        <w:rPr/>
        <w:t>de</w:t>
      </w:r>
      <w:r>
        <w:rPr>
          <w:spacing w:val="-11"/>
        </w:rPr>
        <w:t> </w:t>
      </w:r>
      <w:r>
        <w:rPr/>
        <w:t>la</w:t>
      </w:r>
      <w:r>
        <w:rPr>
          <w:spacing w:val="-11"/>
        </w:rPr>
        <w:t> </w:t>
      </w:r>
      <w:r>
        <w:rPr/>
        <w:t>Fundación</w:t>
      </w:r>
      <w:r>
        <w:rPr>
          <w:spacing w:val="-11"/>
        </w:rPr>
        <w:t> </w:t>
      </w:r>
      <w:r>
        <w:rPr/>
        <w:t>y</w:t>
      </w:r>
      <w:r>
        <w:rPr>
          <w:spacing w:val="-10"/>
        </w:rPr>
        <w:t> </w:t>
      </w:r>
      <w:r>
        <w:rPr/>
        <w:t>que</w:t>
      </w:r>
      <w:r>
        <w:rPr>
          <w:spacing w:val="-11"/>
        </w:rPr>
        <w:t> </w:t>
      </w:r>
      <w:r>
        <w:rPr/>
        <w:t>deroga</w:t>
      </w:r>
      <w:r>
        <w:rPr>
          <w:spacing w:val="32"/>
        </w:rPr>
        <w:t> </w:t>
      </w:r>
      <w:r>
        <w:rPr/>
        <w:t>el</w:t>
      </w:r>
      <w:r>
        <w:rPr>
          <w:spacing w:val="-11"/>
        </w:rPr>
        <w:t> </w:t>
      </w:r>
      <w:r>
        <w:rPr/>
        <w:t>Texto</w:t>
      </w:r>
      <w:r>
        <w:rPr>
          <w:spacing w:val="-11"/>
        </w:rPr>
        <w:t> </w:t>
      </w:r>
      <w:r>
        <w:rPr/>
        <w:t>Refundido</w:t>
      </w:r>
      <w:r>
        <w:rPr>
          <w:spacing w:val="-11"/>
        </w:rPr>
        <w:t> </w:t>
      </w:r>
      <w:r>
        <w:rPr/>
        <w:t>de</w:t>
      </w:r>
      <w:r>
        <w:rPr>
          <w:spacing w:val="-11"/>
        </w:rPr>
        <w:t> </w:t>
      </w:r>
      <w:r>
        <w:rPr/>
        <w:t>la</w:t>
      </w:r>
      <w:r>
        <w:rPr>
          <w:spacing w:val="-11"/>
        </w:rPr>
        <w:t> </w:t>
      </w:r>
      <w:r>
        <w:rPr/>
        <w:t>Ley</w:t>
      </w:r>
      <w:r>
        <w:rPr>
          <w:spacing w:val="-10"/>
        </w:rPr>
        <w:t> </w:t>
      </w:r>
      <w:r>
        <w:rPr/>
        <w:t>de</w:t>
      </w:r>
      <w:r>
        <w:rPr>
          <w:spacing w:val="-11"/>
        </w:rPr>
        <w:t> </w:t>
      </w:r>
      <w:r>
        <w:rPr/>
        <w:t>Contratos</w:t>
      </w:r>
      <w:r>
        <w:rPr>
          <w:spacing w:val="-10"/>
        </w:rPr>
        <w:t> </w:t>
      </w:r>
      <w:r>
        <w:rPr/>
        <w:t>del</w:t>
      </w:r>
      <w:r>
        <w:rPr>
          <w:spacing w:val="-10"/>
        </w:rPr>
        <w:t> </w:t>
      </w:r>
      <w:r>
        <w:rPr/>
        <w:t>Sector</w:t>
      </w:r>
      <w:r>
        <w:rPr>
          <w:spacing w:val="-12"/>
        </w:rPr>
        <w:t> </w:t>
      </w:r>
      <w:r>
        <w:rPr/>
        <w:t>Público</w:t>
      </w:r>
      <w:r>
        <w:rPr>
          <w:spacing w:val="-11"/>
        </w:rPr>
        <w:t> </w:t>
      </w:r>
      <w:r>
        <w:rPr/>
        <w:t>(TRLCSP), diseña un sistema de contratación pública, más eficiente, transparente e íntegro mediante el cual se consigue un mejor cumplimiento</w:t>
      </w:r>
      <w:r>
        <w:rPr>
          <w:spacing w:val="-11"/>
        </w:rPr>
        <w:t> </w:t>
      </w:r>
      <w:r>
        <w:rPr/>
        <w:t>de</w:t>
      </w:r>
      <w:r>
        <w:rPr>
          <w:spacing w:val="-11"/>
        </w:rPr>
        <w:t> </w:t>
      </w:r>
      <w:r>
        <w:rPr/>
        <w:t>los</w:t>
      </w:r>
      <w:r>
        <w:rPr>
          <w:spacing w:val="-10"/>
        </w:rPr>
        <w:t> </w:t>
      </w:r>
      <w:r>
        <w:rPr/>
        <w:t>objetivos</w:t>
      </w:r>
      <w:r>
        <w:rPr>
          <w:spacing w:val="-12"/>
        </w:rPr>
        <w:t> </w:t>
      </w:r>
      <w:r>
        <w:rPr/>
        <w:t>públicos,</w:t>
      </w:r>
      <w:r>
        <w:rPr>
          <w:spacing w:val="-11"/>
        </w:rPr>
        <w:t> </w:t>
      </w:r>
      <w:r>
        <w:rPr/>
        <w:t>tanto</w:t>
      </w:r>
      <w:r>
        <w:rPr>
          <w:spacing w:val="-11"/>
        </w:rPr>
        <w:t> </w:t>
      </w:r>
      <w:r>
        <w:rPr/>
        <w:t>a</w:t>
      </w:r>
      <w:r>
        <w:rPr>
          <w:spacing w:val="-11"/>
        </w:rPr>
        <w:t> </w:t>
      </w:r>
      <w:r>
        <w:rPr/>
        <w:t>través</w:t>
      </w:r>
      <w:r>
        <w:rPr>
          <w:spacing w:val="-10"/>
        </w:rPr>
        <w:t> </w:t>
      </w:r>
      <w:r>
        <w:rPr/>
        <w:t>de</w:t>
      </w:r>
      <w:r>
        <w:rPr>
          <w:spacing w:val="-13"/>
        </w:rPr>
        <w:t> </w:t>
      </w:r>
      <w:r>
        <w:rPr/>
        <w:t>la</w:t>
      </w:r>
      <w:r>
        <w:rPr>
          <w:spacing w:val="-13"/>
        </w:rPr>
        <w:t> </w:t>
      </w:r>
      <w:r>
        <w:rPr/>
        <w:t>satisfacción</w:t>
      </w:r>
      <w:r>
        <w:rPr>
          <w:spacing w:val="-11"/>
        </w:rPr>
        <w:t> </w:t>
      </w:r>
      <w:r>
        <w:rPr/>
        <w:t>de</w:t>
      </w:r>
      <w:r>
        <w:rPr>
          <w:spacing w:val="-13"/>
        </w:rPr>
        <w:t> </w:t>
      </w:r>
      <w:r>
        <w:rPr/>
        <w:t>las</w:t>
      </w:r>
      <w:r>
        <w:rPr>
          <w:spacing w:val="-10"/>
        </w:rPr>
        <w:t> </w:t>
      </w:r>
      <w:r>
        <w:rPr/>
        <w:t>necesidades</w:t>
      </w:r>
      <w:r>
        <w:rPr>
          <w:spacing w:val="-10"/>
        </w:rPr>
        <w:t> </w:t>
      </w:r>
      <w:r>
        <w:rPr/>
        <w:t>de</w:t>
      </w:r>
      <w:r>
        <w:rPr>
          <w:spacing w:val="-11"/>
        </w:rPr>
        <w:t> </w:t>
      </w:r>
      <w:r>
        <w:rPr/>
        <w:t>los</w:t>
      </w:r>
      <w:r>
        <w:rPr>
          <w:spacing w:val="-10"/>
        </w:rPr>
        <w:t> </w:t>
      </w:r>
      <w:r>
        <w:rPr/>
        <w:t>órganos</w:t>
      </w:r>
      <w:r>
        <w:rPr>
          <w:spacing w:val="-10"/>
        </w:rPr>
        <w:t> </w:t>
      </w:r>
      <w:r>
        <w:rPr/>
        <w:t>de</w:t>
      </w:r>
      <w:r>
        <w:rPr>
          <w:spacing w:val="-13"/>
        </w:rPr>
        <w:t> </w:t>
      </w:r>
      <w:r>
        <w:rPr/>
        <w:t>contratación, como mediante una mejora de las condiciones de acceso y participación en las licitaciones públicas de los operadores económicos, y por supuesto, a través de la prestación de mejores servicios a los usuarios de los</w:t>
      </w:r>
      <w:r>
        <w:rPr>
          <w:spacing w:val="-8"/>
        </w:rPr>
        <w:t> </w:t>
      </w:r>
      <w:r>
        <w:rPr/>
        <w:t>mismos.</w:t>
      </w:r>
    </w:p>
    <w:p>
      <w:pPr>
        <w:pStyle w:val="BodyText"/>
        <w:spacing w:before="2"/>
      </w:pPr>
    </w:p>
    <w:p>
      <w:pPr>
        <w:pStyle w:val="BodyText"/>
        <w:ind w:left="112" w:right="304"/>
        <w:jc w:val="both"/>
      </w:pPr>
      <w:r>
        <w:rPr/>
        <w:t>Los objetivos que inspiran la LCSP son, en primer lugar, lograr una mayor transparencia en la contratación pública y, en segundo lugar, conseguir una mejor relación “calidad-precio”, concepto que sustituye nominalmente al de “oferta económica más ventajosa” de la antigua ley.</w:t>
      </w:r>
    </w:p>
    <w:p>
      <w:pPr>
        <w:pStyle w:val="BodyText"/>
      </w:pPr>
    </w:p>
    <w:p>
      <w:pPr>
        <w:pStyle w:val="BodyText"/>
        <w:ind w:left="112" w:right="305"/>
        <w:jc w:val="both"/>
      </w:pPr>
      <w:r>
        <w:rPr/>
        <w:t>La Fundación Tutelar Canaria para la Acción Social, MP (FUCAS), creada específicamente para satisfacer necesidades de interés general, es una fundación pública que forma parte del sector público autonómico y tiene, a los efectos de la LCSP, la consideración jurídica de poder adjudicador no Administración Pública (en adelante PANAP).</w:t>
      </w:r>
    </w:p>
    <w:p>
      <w:pPr>
        <w:pStyle w:val="BodyText"/>
        <w:spacing w:before="11"/>
        <w:rPr>
          <w:sz w:val="18"/>
        </w:rPr>
      </w:pPr>
    </w:p>
    <w:p>
      <w:pPr>
        <w:pStyle w:val="BodyText"/>
        <w:ind w:left="112" w:right="304"/>
        <w:jc w:val="both"/>
      </w:pPr>
      <w:r>
        <w:rPr/>
        <w:t>La LCSP suprime, para los poderes adjudicadores que no son administración pública, las </w:t>
      </w:r>
      <w:r>
        <w:rPr>
          <w:i/>
        </w:rPr>
        <w:t>Instrucciones Internas de </w:t>
      </w:r>
      <w:r>
        <w:rPr>
          <w:i/>
        </w:rPr>
        <w:t>Contratación</w:t>
      </w:r>
      <w:r>
        <w:rPr/>
        <w:t>, que regulaban la adjudicación de los contratos no sujetos a regulación armonizada que, en el caso de la Fundación, fueron aprobadas en reunión del Patronato, en fecha 3 de agosto de 2011.</w:t>
      </w:r>
    </w:p>
    <w:p>
      <w:pPr>
        <w:pStyle w:val="BodyText"/>
      </w:pPr>
    </w:p>
    <w:p>
      <w:pPr>
        <w:pStyle w:val="BodyText"/>
        <w:ind w:left="113" w:right="304"/>
        <w:jc w:val="both"/>
      </w:pPr>
      <w:r>
        <w:rPr/>
        <w:t>Por tanto, a partir de la entrada en vigor de la LCSP, la Fundación está adjudicando contratos por los mismos procedimientos establecidos para las Administraciones Públicas, si bien se nos permite utilizar de forma indistinta cualquiera</w:t>
      </w:r>
      <w:r>
        <w:rPr>
          <w:spacing w:val="-6"/>
        </w:rPr>
        <w:t> </w:t>
      </w:r>
      <w:r>
        <w:rPr/>
        <w:t>de</w:t>
      </w:r>
      <w:r>
        <w:rPr>
          <w:spacing w:val="-6"/>
        </w:rPr>
        <w:t> </w:t>
      </w:r>
      <w:r>
        <w:rPr/>
        <w:t>ellos,</w:t>
      </w:r>
      <w:r>
        <w:rPr>
          <w:spacing w:val="-5"/>
        </w:rPr>
        <w:t> </w:t>
      </w:r>
      <w:r>
        <w:rPr/>
        <w:t>a</w:t>
      </w:r>
      <w:r>
        <w:rPr>
          <w:spacing w:val="-6"/>
        </w:rPr>
        <w:t> </w:t>
      </w:r>
      <w:r>
        <w:rPr/>
        <w:t>excepción</w:t>
      </w:r>
      <w:r>
        <w:rPr>
          <w:spacing w:val="-6"/>
        </w:rPr>
        <w:t> </w:t>
      </w:r>
      <w:r>
        <w:rPr/>
        <w:t>del</w:t>
      </w:r>
      <w:r>
        <w:rPr>
          <w:spacing w:val="-4"/>
        </w:rPr>
        <w:t> </w:t>
      </w:r>
      <w:r>
        <w:rPr/>
        <w:t>negociado</w:t>
      </w:r>
      <w:r>
        <w:rPr>
          <w:spacing w:val="-9"/>
        </w:rPr>
        <w:t> </w:t>
      </w:r>
      <w:r>
        <w:rPr/>
        <w:t>sin</w:t>
      </w:r>
      <w:r>
        <w:rPr>
          <w:spacing w:val="-6"/>
        </w:rPr>
        <w:t> </w:t>
      </w:r>
      <w:r>
        <w:rPr/>
        <w:t>publicidad,</w:t>
      </w:r>
      <w:r>
        <w:rPr>
          <w:spacing w:val="-5"/>
        </w:rPr>
        <w:t> </w:t>
      </w:r>
      <w:r>
        <w:rPr/>
        <w:t>que</w:t>
      </w:r>
      <w:r>
        <w:rPr>
          <w:spacing w:val="-6"/>
        </w:rPr>
        <w:t> </w:t>
      </w:r>
      <w:r>
        <w:rPr/>
        <w:t>sólo</w:t>
      </w:r>
      <w:r>
        <w:rPr>
          <w:spacing w:val="-6"/>
        </w:rPr>
        <w:t> </w:t>
      </w:r>
      <w:r>
        <w:rPr/>
        <w:t>se</w:t>
      </w:r>
      <w:r>
        <w:rPr>
          <w:spacing w:val="-5"/>
        </w:rPr>
        <w:t> </w:t>
      </w:r>
      <w:r>
        <w:rPr/>
        <w:t>podrá</w:t>
      </w:r>
      <w:r>
        <w:rPr>
          <w:spacing w:val="-6"/>
        </w:rPr>
        <w:t> </w:t>
      </w:r>
      <w:r>
        <w:rPr/>
        <w:t>hacer</w:t>
      </w:r>
      <w:r>
        <w:rPr>
          <w:spacing w:val="-7"/>
        </w:rPr>
        <w:t> </w:t>
      </w:r>
      <w:r>
        <w:rPr/>
        <w:t>uso</w:t>
      </w:r>
      <w:r>
        <w:rPr>
          <w:spacing w:val="-5"/>
        </w:rPr>
        <w:t> </w:t>
      </w:r>
      <w:r>
        <w:rPr/>
        <w:t>de</w:t>
      </w:r>
      <w:r>
        <w:rPr>
          <w:spacing w:val="-6"/>
        </w:rPr>
        <w:t> </w:t>
      </w:r>
      <w:r>
        <w:rPr/>
        <w:t>él</w:t>
      </w:r>
      <w:r>
        <w:rPr>
          <w:spacing w:val="-5"/>
        </w:rPr>
        <w:t> </w:t>
      </w:r>
      <w:r>
        <w:rPr/>
        <w:t>en</w:t>
      </w:r>
      <w:r>
        <w:rPr>
          <w:spacing w:val="-5"/>
        </w:rPr>
        <w:t> </w:t>
      </w:r>
      <w:r>
        <w:rPr/>
        <w:t>los</w:t>
      </w:r>
      <w:r>
        <w:rPr>
          <w:spacing w:val="-5"/>
        </w:rPr>
        <w:t> </w:t>
      </w:r>
      <w:r>
        <w:rPr/>
        <w:t>mismos</w:t>
      </w:r>
      <w:r>
        <w:rPr>
          <w:spacing w:val="-8"/>
        </w:rPr>
        <w:t> </w:t>
      </w:r>
      <w:r>
        <w:rPr/>
        <w:t>supuestos que las citadas</w:t>
      </w:r>
      <w:r>
        <w:rPr>
          <w:spacing w:val="1"/>
        </w:rPr>
        <w:t> </w:t>
      </w:r>
      <w:r>
        <w:rPr/>
        <w:t>Administraciones.</w:t>
      </w:r>
    </w:p>
    <w:p>
      <w:pPr>
        <w:pStyle w:val="BodyText"/>
        <w:spacing w:before="11"/>
        <w:rPr>
          <w:sz w:val="18"/>
        </w:rPr>
      </w:pPr>
    </w:p>
    <w:p>
      <w:pPr>
        <w:pStyle w:val="BodyText"/>
        <w:ind w:left="113" w:right="304"/>
        <w:jc w:val="both"/>
      </w:pPr>
      <w:r>
        <w:rPr/>
        <w:t>Así</w:t>
      </w:r>
      <w:r>
        <w:rPr>
          <w:spacing w:val="-2"/>
        </w:rPr>
        <w:t> </w:t>
      </w:r>
      <w:r>
        <w:rPr/>
        <w:t>queda</w:t>
      </w:r>
      <w:r>
        <w:rPr>
          <w:spacing w:val="-1"/>
        </w:rPr>
        <w:t> </w:t>
      </w:r>
      <w:r>
        <w:rPr/>
        <w:t>establecido</w:t>
      </w:r>
      <w:r>
        <w:rPr>
          <w:spacing w:val="-1"/>
        </w:rPr>
        <w:t> </w:t>
      </w:r>
      <w:r>
        <w:rPr/>
        <w:t>en</w:t>
      </w:r>
      <w:r>
        <w:rPr>
          <w:spacing w:val="-4"/>
        </w:rPr>
        <w:t> </w:t>
      </w:r>
      <w:r>
        <w:rPr/>
        <w:t>el</w:t>
      </w:r>
      <w:r>
        <w:rPr>
          <w:spacing w:val="-3"/>
        </w:rPr>
        <w:t> </w:t>
      </w:r>
      <w:r>
        <w:rPr/>
        <w:t>artículo</w:t>
      </w:r>
      <w:r>
        <w:rPr>
          <w:spacing w:val="-1"/>
        </w:rPr>
        <w:t> </w:t>
      </w:r>
      <w:r>
        <w:rPr/>
        <w:t>318</w:t>
      </w:r>
      <w:r>
        <w:rPr>
          <w:spacing w:val="-2"/>
        </w:rPr>
        <w:t> </w:t>
      </w:r>
      <w:r>
        <w:rPr/>
        <w:t>de</w:t>
      </w:r>
      <w:r>
        <w:rPr>
          <w:spacing w:val="-4"/>
        </w:rPr>
        <w:t> </w:t>
      </w:r>
      <w:r>
        <w:rPr/>
        <w:t>la</w:t>
      </w:r>
      <w:r>
        <w:rPr>
          <w:spacing w:val="-1"/>
        </w:rPr>
        <w:t> </w:t>
      </w:r>
      <w:r>
        <w:rPr/>
        <w:t>nueva</w:t>
      </w:r>
      <w:r>
        <w:rPr>
          <w:spacing w:val="-1"/>
        </w:rPr>
        <w:t> </w:t>
      </w:r>
      <w:r>
        <w:rPr/>
        <w:t>Ley,</w:t>
      </w:r>
      <w:r>
        <w:rPr>
          <w:spacing w:val="-4"/>
        </w:rPr>
        <w:t> </w:t>
      </w:r>
      <w:r>
        <w:rPr/>
        <w:t>para</w:t>
      </w:r>
      <w:r>
        <w:rPr>
          <w:spacing w:val="-1"/>
        </w:rPr>
        <w:t> </w:t>
      </w:r>
      <w:r>
        <w:rPr/>
        <w:t>aquellos</w:t>
      </w:r>
      <w:r>
        <w:rPr>
          <w:spacing w:val="-3"/>
        </w:rPr>
        <w:t> </w:t>
      </w:r>
      <w:r>
        <w:rPr/>
        <w:t>contratos</w:t>
      </w:r>
      <w:r>
        <w:rPr>
          <w:spacing w:val="-4"/>
        </w:rPr>
        <w:t> </w:t>
      </w:r>
      <w:r>
        <w:rPr/>
        <w:t>no</w:t>
      </w:r>
      <w:r>
        <w:rPr>
          <w:spacing w:val="-1"/>
        </w:rPr>
        <w:t> </w:t>
      </w:r>
      <w:r>
        <w:rPr/>
        <w:t>sujetos a</w:t>
      </w:r>
      <w:r>
        <w:rPr>
          <w:spacing w:val="-4"/>
        </w:rPr>
        <w:t> </w:t>
      </w:r>
      <w:r>
        <w:rPr/>
        <w:t>regulación</w:t>
      </w:r>
      <w:r>
        <w:rPr>
          <w:spacing w:val="-4"/>
        </w:rPr>
        <w:t> </w:t>
      </w:r>
      <w:r>
        <w:rPr/>
        <w:t>armonizada,</w:t>
      </w:r>
      <w:r>
        <w:rPr>
          <w:spacing w:val="-1"/>
        </w:rPr>
        <w:t> </w:t>
      </w:r>
      <w:r>
        <w:rPr/>
        <w:t>en sus apartados a) y b) lo siguiente:</w:t>
      </w:r>
    </w:p>
    <w:p>
      <w:pPr>
        <w:pStyle w:val="BodyText"/>
        <w:spacing w:before="1"/>
      </w:pPr>
    </w:p>
    <w:p>
      <w:pPr>
        <w:pStyle w:val="ListParagraph"/>
        <w:numPr>
          <w:ilvl w:val="0"/>
          <w:numId w:val="1"/>
        </w:numPr>
        <w:tabs>
          <w:tab w:pos="834" w:val="left" w:leader="none"/>
        </w:tabs>
        <w:spacing w:line="240" w:lineRule="auto" w:before="0" w:after="0"/>
        <w:ind w:left="832" w:right="305" w:hanging="360"/>
        <w:jc w:val="both"/>
        <w:rPr>
          <w:i/>
          <w:sz w:val="19"/>
        </w:rPr>
      </w:pPr>
      <w:r>
        <w:rPr>
          <w:i/>
          <w:sz w:val="19"/>
        </w:rPr>
        <w:t>Los</w:t>
      </w:r>
      <w:r>
        <w:rPr>
          <w:i/>
          <w:spacing w:val="-4"/>
          <w:sz w:val="19"/>
        </w:rPr>
        <w:t> </w:t>
      </w:r>
      <w:r>
        <w:rPr>
          <w:i/>
          <w:sz w:val="19"/>
        </w:rPr>
        <w:t>contratos</w:t>
      </w:r>
      <w:r>
        <w:rPr>
          <w:i/>
          <w:spacing w:val="-5"/>
          <w:sz w:val="19"/>
        </w:rPr>
        <w:t> </w:t>
      </w:r>
      <w:r>
        <w:rPr>
          <w:i/>
          <w:sz w:val="19"/>
        </w:rPr>
        <w:t>cuyo</w:t>
      </w:r>
      <w:r>
        <w:rPr>
          <w:i/>
          <w:spacing w:val="-5"/>
          <w:sz w:val="19"/>
        </w:rPr>
        <w:t> </w:t>
      </w:r>
      <w:r>
        <w:rPr>
          <w:i/>
          <w:sz w:val="19"/>
        </w:rPr>
        <w:t>valor</w:t>
      </w:r>
      <w:r>
        <w:rPr>
          <w:i/>
          <w:spacing w:val="-5"/>
          <w:sz w:val="19"/>
        </w:rPr>
        <w:t> </w:t>
      </w:r>
      <w:r>
        <w:rPr>
          <w:i/>
          <w:sz w:val="19"/>
        </w:rPr>
        <w:t>estimado</w:t>
      </w:r>
      <w:r>
        <w:rPr>
          <w:i/>
          <w:spacing w:val="-6"/>
          <w:sz w:val="19"/>
        </w:rPr>
        <w:t> </w:t>
      </w:r>
      <w:r>
        <w:rPr>
          <w:i/>
          <w:sz w:val="19"/>
        </w:rPr>
        <w:t>es</w:t>
      </w:r>
      <w:r>
        <w:rPr>
          <w:i/>
          <w:spacing w:val="-5"/>
          <w:sz w:val="19"/>
        </w:rPr>
        <w:t> </w:t>
      </w:r>
      <w:r>
        <w:rPr>
          <w:i/>
          <w:sz w:val="19"/>
        </w:rPr>
        <w:t>inferior</w:t>
      </w:r>
      <w:r>
        <w:rPr>
          <w:i/>
          <w:spacing w:val="-5"/>
          <w:sz w:val="19"/>
        </w:rPr>
        <w:t> </w:t>
      </w:r>
      <w:r>
        <w:rPr>
          <w:i/>
          <w:sz w:val="19"/>
        </w:rPr>
        <w:t>a</w:t>
      </w:r>
      <w:r>
        <w:rPr>
          <w:i/>
          <w:spacing w:val="-7"/>
          <w:sz w:val="19"/>
        </w:rPr>
        <w:t> </w:t>
      </w:r>
      <w:r>
        <w:rPr>
          <w:i/>
          <w:sz w:val="19"/>
        </w:rPr>
        <w:t>40.000</w:t>
      </w:r>
      <w:r>
        <w:rPr>
          <w:i/>
          <w:spacing w:val="-5"/>
          <w:sz w:val="19"/>
        </w:rPr>
        <w:t> </w:t>
      </w:r>
      <w:r>
        <w:rPr>
          <w:i/>
          <w:sz w:val="19"/>
        </w:rPr>
        <w:t>euros,</w:t>
      </w:r>
      <w:r>
        <w:rPr>
          <w:i/>
          <w:spacing w:val="-6"/>
          <w:sz w:val="19"/>
        </w:rPr>
        <w:t> </w:t>
      </w:r>
      <w:r>
        <w:rPr>
          <w:i/>
          <w:sz w:val="19"/>
        </w:rPr>
        <w:t>cuando</w:t>
      </w:r>
      <w:r>
        <w:rPr>
          <w:i/>
          <w:spacing w:val="-5"/>
          <w:sz w:val="19"/>
        </w:rPr>
        <w:t> </w:t>
      </w:r>
      <w:r>
        <w:rPr>
          <w:i/>
          <w:sz w:val="19"/>
        </w:rPr>
        <w:t>se</w:t>
      </w:r>
      <w:r>
        <w:rPr>
          <w:i/>
          <w:spacing w:val="-6"/>
          <w:sz w:val="19"/>
        </w:rPr>
        <w:t> </w:t>
      </w:r>
      <w:r>
        <w:rPr>
          <w:i/>
          <w:sz w:val="19"/>
        </w:rPr>
        <w:t>trate</w:t>
      </w:r>
      <w:r>
        <w:rPr>
          <w:i/>
          <w:spacing w:val="-6"/>
          <w:sz w:val="19"/>
        </w:rPr>
        <w:t> </w:t>
      </w:r>
      <w:r>
        <w:rPr>
          <w:i/>
          <w:sz w:val="19"/>
        </w:rPr>
        <w:t>de</w:t>
      </w:r>
      <w:r>
        <w:rPr>
          <w:i/>
          <w:spacing w:val="-6"/>
          <w:sz w:val="19"/>
        </w:rPr>
        <w:t> </w:t>
      </w:r>
      <w:r>
        <w:rPr>
          <w:i/>
          <w:sz w:val="19"/>
        </w:rPr>
        <w:t>contratos</w:t>
      </w:r>
      <w:r>
        <w:rPr>
          <w:i/>
          <w:spacing w:val="-5"/>
          <w:sz w:val="19"/>
        </w:rPr>
        <w:t> </w:t>
      </w:r>
      <w:r>
        <w:rPr>
          <w:i/>
          <w:sz w:val="19"/>
        </w:rPr>
        <w:t>de</w:t>
      </w:r>
      <w:r>
        <w:rPr>
          <w:i/>
          <w:spacing w:val="-7"/>
          <w:sz w:val="19"/>
        </w:rPr>
        <w:t> </w:t>
      </w:r>
      <w:r>
        <w:rPr>
          <w:i/>
          <w:sz w:val="19"/>
        </w:rPr>
        <w:t>obras,</w:t>
      </w:r>
      <w:r>
        <w:rPr>
          <w:i/>
          <w:spacing w:val="-8"/>
          <w:sz w:val="19"/>
        </w:rPr>
        <w:t> </w:t>
      </w:r>
      <w:r>
        <w:rPr>
          <w:i/>
          <w:sz w:val="19"/>
        </w:rPr>
        <w:t>de</w:t>
      </w:r>
      <w:r>
        <w:rPr>
          <w:i/>
          <w:spacing w:val="-6"/>
          <w:sz w:val="19"/>
        </w:rPr>
        <w:t> </w:t>
      </w:r>
      <w:r>
        <w:rPr>
          <w:i/>
          <w:sz w:val="19"/>
        </w:rPr>
        <w:t>concesiones</w:t>
      </w:r>
      <w:r>
        <w:rPr>
          <w:i/>
          <w:spacing w:val="-5"/>
          <w:sz w:val="19"/>
        </w:rPr>
        <w:t> </w:t>
      </w:r>
      <w:r>
        <w:rPr>
          <w:i/>
          <w:sz w:val="19"/>
        </w:rPr>
        <w:t>de</w:t>
      </w:r>
      <w:r>
        <w:rPr>
          <w:i/>
          <w:spacing w:val="-6"/>
          <w:sz w:val="19"/>
        </w:rPr>
        <w:t> </w:t>
      </w:r>
      <w:r>
        <w:rPr>
          <w:i/>
          <w:sz w:val="19"/>
        </w:rPr>
        <w:t>obras </w:t>
      </w:r>
      <w:r>
        <w:rPr>
          <w:i/>
          <w:sz w:val="19"/>
        </w:rPr>
        <w:t>y concesiones de servicios, o a 15.000 euros, cuando se trate de contratos de servicios y suministros, podrán adjudicarse</w:t>
      </w:r>
      <w:r>
        <w:rPr>
          <w:i/>
          <w:sz w:val="19"/>
          <w:u w:val="single"/>
        </w:rPr>
        <w:t> directamente</w:t>
      </w:r>
      <w:r>
        <w:rPr>
          <w:i/>
          <w:sz w:val="19"/>
        </w:rPr>
        <w:t> a cualquier empresario con capacidad de obrar y que cuente con la habilitación profesional necesaria para realizar la prestación objeto del</w:t>
      </w:r>
      <w:r>
        <w:rPr>
          <w:i/>
          <w:spacing w:val="-3"/>
          <w:sz w:val="19"/>
        </w:rPr>
        <w:t> </w:t>
      </w:r>
      <w:r>
        <w:rPr>
          <w:i/>
          <w:sz w:val="19"/>
        </w:rPr>
        <w:t>contrato.</w:t>
      </w:r>
    </w:p>
    <w:p>
      <w:pPr>
        <w:pStyle w:val="ListParagraph"/>
        <w:numPr>
          <w:ilvl w:val="0"/>
          <w:numId w:val="1"/>
        </w:numPr>
        <w:tabs>
          <w:tab w:pos="833" w:val="left" w:leader="none"/>
        </w:tabs>
        <w:spacing w:line="240" w:lineRule="auto" w:before="0" w:after="0"/>
        <w:ind w:left="832" w:right="304" w:hanging="361"/>
        <w:jc w:val="both"/>
        <w:rPr>
          <w:i/>
          <w:sz w:val="19"/>
        </w:rPr>
      </w:pPr>
      <w:r>
        <w:rPr>
          <w:i/>
          <w:sz w:val="19"/>
        </w:rPr>
        <w:t>Los contratos de obras, concesiones de obras y concesiones de servicios cuyo valor estimado sea igual o superior a 40.000 </w:t>
      </w:r>
      <w:r>
        <w:rPr>
          <w:i/>
          <w:sz w:val="19"/>
        </w:rPr>
        <w:t>euros e inferior a 5.225.000 euros y los contratos de </w:t>
      </w:r>
      <w:r>
        <w:rPr>
          <w:i/>
          <w:sz w:val="19"/>
          <w:u w:val="single"/>
        </w:rPr>
        <w:t>servicios y suministros</w:t>
      </w:r>
      <w:r>
        <w:rPr>
          <w:i/>
          <w:sz w:val="19"/>
        </w:rPr>
        <w:t> de </w:t>
      </w:r>
      <w:r>
        <w:rPr>
          <w:i/>
          <w:sz w:val="19"/>
          <w:u w:val="single"/>
        </w:rPr>
        <w:t>valor estimado</w:t>
      </w:r>
      <w:r>
        <w:rPr>
          <w:i/>
          <w:sz w:val="19"/>
        </w:rPr>
        <w:t> </w:t>
      </w:r>
      <w:r>
        <w:rPr>
          <w:i/>
          <w:sz w:val="19"/>
          <w:u w:val="single"/>
        </w:rPr>
        <w:t>superior a 15.000 euros e inferior a 209.000 euros</w:t>
      </w:r>
      <w:r>
        <w:rPr>
          <w:i/>
          <w:sz w:val="19"/>
        </w:rPr>
        <w:t>, se podrán adjudicar por </w:t>
      </w:r>
      <w:r>
        <w:rPr>
          <w:i/>
          <w:sz w:val="19"/>
          <w:u w:val="single"/>
        </w:rPr>
        <w:t>cualquiera de los procedimientos previstos</w:t>
      </w:r>
      <w:r>
        <w:rPr>
          <w:i/>
          <w:sz w:val="19"/>
        </w:rPr>
        <w:t> en la Sección 2ª del Capítulo I del</w:t>
      </w:r>
      <w:r>
        <w:rPr>
          <w:i/>
          <w:spacing w:val="-8"/>
          <w:sz w:val="19"/>
        </w:rPr>
        <w:t> </w:t>
      </w:r>
      <w:r>
        <w:rPr>
          <w:i/>
          <w:sz w:val="19"/>
        </w:rPr>
        <w:t>Título</w:t>
      </w:r>
      <w:r>
        <w:rPr>
          <w:i/>
          <w:spacing w:val="-6"/>
          <w:sz w:val="19"/>
        </w:rPr>
        <w:t> </w:t>
      </w:r>
      <w:r>
        <w:rPr>
          <w:i/>
          <w:sz w:val="19"/>
        </w:rPr>
        <w:t>I</w:t>
      </w:r>
      <w:r>
        <w:rPr>
          <w:i/>
          <w:spacing w:val="-10"/>
          <w:sz w:val="19"/>
        </w:rPr>
        <w:t> </w:t>
      </w:r>
      <w:r>
        <w:rPr>
          <w:i/>
          <w:sz w:val="19"/>
          <w:u w:val="single"/>
        </w:rPr>
        <w:t>del</w:t>
      </w:r>
      <w:r>
        <w:rPr>
          <w:i/>
          <w:spacing w:val="-10"/>
          <w:sz w:val="19"/>
          <w:u w:val="single"/>
        </w:rPr>
        <w:t> </w:t>
      </w:r>
      <w:r>
        <w:rPr>
          <w:i/>
          <w:sz w:val="19"/>
          <w:u w:val="single"/>
        </w:rPr>
        <w:t>Libro</w:t>
      </w:r>
      <w:r>
        <w:rPr>
          <w:i/>
          <w:spacing w:val="-8"/>
          <w:sz w:val="19"/>
          <w:u w:val="single"/>
        </w:rPr>
        <w:t> </w:t>
      </w:r>
      <w:r>
        <w:rPr>
          <w:i/>
          <w:sz w:val="19"/>
          <w:u w:val="single"/>
        </w:rPr>
        <w:t>Segundo</w:t>
      </w:r>
      <w:r>
        <w:rPr>
          <w:i/>
          <w:spacing w:val="-8"/>
          <w:sz w:val="19"/>
        </w:rPr>
        <w:t> </w:t>
      </w:r>
      <w:r>
        <w:rPr>
          <w:i/>
          <w:sz w:val="19"/>
        </w:rPr>
        <w:t>de</w:t>
      </w:r>
      <w:r>
        <w:rPr>
          <w:i/>
          <w:spacing w:val="-7"/>
          <w:sz w:val="19"/>
        </w:rPr>
        <w:t> </w:t>
      </w:r>
      <w:r>
        <w:rPr>
          <w:i/>
          <w:sz w:val="19"/>
        </w:rPr>
        <w:t>la</w:t>
      </w:r>
      <w:r>
        <w:rPr>
          <w:i/>
          <w:spacing w:val="-9"/>
          <w:sz w:val="19"/>
        </w:rPr>
        <w:t> </w:t>
      </w:r>
      <w:r>
        <w:rPr>
          <w:i/>
          <w:sz w:val="19"/>
        </w:rPr>
        <w:t>presente</w:t>
      </w:r>
      <w:r>
        <w:rPr>
          <w:i/>
          <w:spacing w:val="-7"/>
          <w:sz w:val="19"/>
        </w:rPr>
        <w:t> </w:t>
      </w:r>
      <w:r>
        <w:rPr>
          <w:i/>
          <w:sz w:val="19"/>
        </w:rPr>
        <w:t>Ley,</w:t>
      </w:r>
      <w:r>
        <w:rPr>
          <w:i/>
          <w:spacing w:val="-9"/>
          <w:sz w:val="19"/>
        </w:rPr>
        <w:t> </w:t>
      </w:r>
      <w:r>
        <w:rPr>
          <w:i/>
          <w:sz w:val="19"/>
        </w:rPr>
        <w:t>con</w:t>
      </w:r>
      <w:r>
        <w:rPr>
          <w:i/>
          <w:spacing w:val="-8"/>
          <w:sz w:val="19"/>
        </w:rPr>
        <w:t> </w:t>
      </w:r>
      <w:r>
        <w:rPr>
          <w:i/>
          <w:sz w:val="19"/>
        </w:rPr>
        <w:t>excepción</w:t>
      </w:r>
      <w:r>
        <w:rPr>
          <w:i/>
          <w:spacing w:val="-9"/>
          <w:sz w:val="19"/>
        </w:rPr>
        <w:t> </w:t>
      </w:r>
      <w:r>
        <w:rPr>
          <w:i/>
          <w:sz w:val="19"/>
        </w:rPr>
        <w:t>del</w:t>
      </w:r>
      <w:r>
        <w:rPr>
          <w:i/>
          <w:spacing w:val="-9"/>
          <w:sz w:val="19"/>
        </w:rPr>
        <w:t> </w:t>
      </w:r>
      <w:r>
        <w:rPr>
          <w:i/>
          <w:sz w:val="19"/>
        </w:rPr>
        <w:t>procedimiento</w:t>
      </w:r>
      <w:r>
        <w:rPr>
          <w:i/>
          <w:spacing w:val="-8"/>
          <w:sz w:val="19"/>
        </w:rPr>
        <w:t> </w:t>
      </w:r>
      <w:r>
        <w:rPr>
          <w:i/>
          <w:sz w:val="19"/>
        </w:rPr>
        <w:t>negociado</w:t>
      </w:r>
      <w:r>
        <w:rPr>
          <w:i/>
          <w:spacing w:val="-8"/>
          <w:sz w:val="19"/>
        </w:rPr>
        <w:t> </w:t>
      </w:r>
      <w:r>
        <w:rPr>
          <w:i/>
          <w:sz w:val="19"/>
        </w:rPr>
        <w:t>sin</w:t>
      </w:r>
      <w:r>
        <w:rPr>
          <w:i/>
          <w:spacing w:val="-9"/>
          <w:sz w:val="19"/>
        </w:rPr>
        <w:t> </w:t>
      </w:r>
      <w:r>
        <w:rPr>
          <w:i/>
          <w:sz w:val="19"/>
        </w:rPr>
        <w:t>publicidad,</w:t>
      </w:r>
      <w:r>
        <w:rPr>
          <w:i/>
          <w:spacing w:val="-9"/>
          <w:sz w:val="19"/>
        </w:rPr>
        <w:t> </w:t>
      </w:r>
      <w:r>
        <w:rPr>
          <w:i/>
          <w:sz w:val="19"/>
        </w:rPr>
        <w:t>que</w:t>
      </w:r>
      <w:r>
        <w:rPr>
          <w:i/>
          <w:spacing w:val="-9"/>
          <w:sz w:val="19"/>
        </w:rPr>
        <w:t> </w:t>
      </w:r>
      <w:r>
        <w:rPr>
          <w:i/>
          <w:sz w:val="19"/>
        </w:rPr>
        <w:t>únicamente se podrá utilizar en los casos previstos en el artículo</w:t>
      </w:r>
      <w:r>
        <w:rPr>
          <w:i/>
          <w:spacing w:val="-1"/>
          <w:sz w:val="19"/>
        </w:rPr>
        <w:t> </w:t>
      </w:r>
      <w:r>
        <w:rPr>
          <w:i/>
          <w:sz w:val="19"/>
        </w:rPr>
        <w:t>168.</w:t>
      </w:r>
    </w:p>
    <w:p>
      <w:pPr>
        <w:pStyle w:val="BodyText"/>
        <w:spacing w:before="9"/>
        <w:rPr>
          <w:rFonts w:ascii="Times New Roman"/>
          <w:i/>
          <w:sz w:val="18"/>
        </w:rPr>
      </w:pPr>
    </w:p>
    <w:p>
      <w:pPr>
        <w:pStyle w:val="BodyText"/>
        <w:ind w:left="112" w:right="305"/>
        <w:jc w:val="both"/>
      </w:pPr>
      <w:r>
        <w:rPr/>
        <w:t>Asimismo, la Fundación, actualiza continuamente su contratación, implementando las Recomendaciones que sobre pliegos y otros temas se van publicando en la página de la Consejería de Hacienda y Relaciones con la Unión Europea del Gobierno de Canarias.</w:t>
      </w:r>
    </w:p>
    <w:p>
      <w:pPr>
        <w:pStyle w:val="BodyText"/>
        <w:rPr>
          <w:sz w:val="20"/>
        </w:rPr>
      </w:pPr>
    </w:p>
    <w:p>
      <w:pPr>
        <w:pStyle w:val="BodyText"/>
        <w:spacing w:before="6"/>
        <w:rPr>
          <w:sz w:val="23"/>
        </w:rPr>
      </w:pPr>
    </w:p>
    <w:p>
      <w:pPr>
        <w:pStyle w:val="Heading1"/>
      </w:pPr>
      <w:r>
        <w:rPr>
          <w:color w:val="4471C4"/>
          <w:w w:val="100"/>
        </w:rPr>
        <w:t>1</w:t>
      </w:r>
    </w:p>
    <w:p>
      <w:pPr>
        <w:spacing w:after="0"/>
        <w:sectPr>
          <w:type w:val="continuous"/>
          <w:pgSz w:w="11910" w:h="16840"/>
          <w:pgMar w:top="1580" w:bottom="280" w:left="1020" w:right="260"/>
        </w:sectPr>
      </w:pPr>
    </w:p>
    <w:p>
      <w:pPr>
        <w:pStyle w:val="BodyText"/>
        <w:rPr>
          <w:rFonts w:ascii="Calibri"/>
          <w:sz w:val="20"/>
        </w:rPr>
      </w:pPr>
      <w:r>
        <w:rPr/>
        <w:drawing>
          <wp:anchor distT="0" distB="0" distL="0" distR="0" allowOverlap="1" layoutInCell="1" locked="0" behindDoc="1" simplePos="0" relativeHeight="251037696">
            <wp:simplePos x="0" y="0"/>
            <wp:positionH relativeFrom="page">
              <wp:posOffset>0</wp:posOffset>
            </wp:positionH>
            <wp:positionV relativeFrom="page">
              <wp:posOffset>635</wp:posOffset>
            </wp:positionV>
            <wp:extent cx="7558405" cy="10691748"/>
            <wp:effectExtent l="0" t="0" r="0" b="0"/>
            <wp:wrapNone/>
            <wp:docPr id="3" name="image1.png"/>
            <wp:cNvGraphicFramePr>
              <a:graphicFrameLocks noChangeAspect="1"/>
            </wp:cNvGraphicFramePr>
            <a:graphic>
              <a:graphicData uri="http://schemas.openxmlformats.org/drawingml/2006/picture">
                <pic:pic>
                  <pic:nvPicPr>
                    <pic:cNvPr id="4" name="image1.png"/>
                    <pic:cNvPicPr/>
                  </pic:nvPicPr>
                  <pic:blipFill>
                    <a:blip r:embed="rId5" cstate="print"/>
                    <a:stretch>
                      <a:fillRect/>
                    </a:stretch>
                  </pic:blipFill>
                  <pic:spPr>
                    <a:xfrm>
                      <a:off x="0" y="0"/>
                      <a:ext cx="7558405" cy="10691748"/>
                    </a:xfrm>
                    <a:prstGeom prst="rect">
                      <a:avLst/>
                    </a:prstGeom>
                  </pic:spPr>
                </pic:pic>
              </a:graphicData>
            </a:graphic>
          </wp:anchor>
        </w:drawing>
      </w:r>
    </w:p>
    <w:p>
      <w:pPr>
        <w:pStyle w:val="BodyText"/>
        <w:rPr>
          <w:rFonts w:ascii="Calibri"/>
          <w:sz w:val="20"/>
        </w:rPr>
      </w:pPr>
    </w:p>
    <w:p>
      <w:pPr>
        <w:pStyle w:val="BodyText"/>
        <w:rPr>
          <w:rFonts w:ascii="Calibri"/>
          <w:sz w:val="20"/>
        </w:rPr>
      </w:pPr>
    </w:p>
    <w:p>
      <w:pPr>
        <w:pStyle w:val="BodyText"/>
        <w:spacing w:before="9"/>
        <w:rPr>
          <w:rFonts w:ascii="Calibri"/>
          <w:sz w:val="24"/>
        </w:rPr>
      </w:pPr>
    </w:p>
    <w:p>
      <w:pPr>
        <w:pStyle w:val="Heading2"/>
        <w:spacing w:before="93"/>
      </w:pPr>
      <w:r>
        <w:rPr/>
        <w:t>1.- CONTRATACIÓN FORMALIZADA EN 2025, Y EXPEDIENTES DE CONTRATACIÓN EN CURSO, PARA SERVICIOS QUE SE VAN A EJECUTAR EN EL EJERCICIO 2026.</w:t>
      </w:r>
    </w:p>
    <w:p>
      <w:pPr>
        <w:pStyle w:val="BodyText"/>
        <w:spacing w:before="1"/>
        <w:rPr>
          <w:b/>
          <w:sz w:val="20"/>
        </w:rPr>
      </w:pPr>
    </w:p>
    <w:p>
      <w:pPr>
        <w:spacing w:before="0"/>
        <w:ind w:left="112" w:right="304" w:firstLine="0"/>
        <w:jc w:val="both"/>
        <w:rPr>
          <w:sz w:val="19"/>
        </w:rPr>
      </w:pPr>
      <w:r>
        <w:rPr>
          <w:sz w:val="19"/>
        </w:rPr>
        <w:t>Por </w:t>
      </w:r>
      <w:r>
        <w:rPr>
          <w:i/>
          <w:sz w:val="19"/>
        </w:rPr>
        <w:t>procedimiento </w:t>
      </w:r>
      <w:r>
        <w:rPr>
          <w:b/>
          <w:i/>
          <w:sz w:val="19"/>
        </w:rPr>
        <w:t>abierto ordinario</w:t>
      </w:r>
      <w:r>
        <w:rPr>
          <w:sz w:val="19"/>
        </w:rPr>
        <w:t>, en base a los principios de </w:t>
      </w:r>
      <w:r>
        <w:rPr>
          <w:i/>
          <w:sz w:val="19"/>
        </w:rPr>
        <w:t>transparencia </w:t>
      </w:r>
      <w:r>
        <w:rPr>
          <w:sz w:val="19"/>
        </w:rPr>
        <w:t>y </w:t>
      </w:r>
      <w:r>
        <w:rPr>
          <w:i/>
          <w:sz w:val="19"/>
        </w:rPr>
        <w:t>libre concurrencia</w:t>
      </w:r>
      <w:r>
        <w:rPr>
          <w:sz w:val="19"/>
        </w:rPr>
        <w:t>, procedimiento que garantiza que </w:t>
      </w:r>
      <w:r>
        <w:rPr>
          <w:i/>
          <w:sz w:val="19"/>
        </w:rPr>
        <w:t>“todo empresario interesado podrá presentar una proposición, quedando excluida toda negociación de los </w:t>
      </w:r>
      <w:r>
        <w:rPr>
          <w:i/>
          <w:sz w:val="19"/>
        </w:rPr>
        <w:t>términos del contrato con los licitadores.” (Art.156 LCSP)</w:t>
      </w:r>
      <w:r>
        <w:rPr>
          <w:sz w:val="19"/>
        </w:rPr>
        <w:t>, se </w:t>
      </w:r>
      <w:r>
        <w:rPr>
          <w:sz w:val="19"/>
          <w:u w:val="single"/>
        </w:rPr>
        <w:t>formalizaron</w:t>
      </w:r>
      <w:r>
        <w:rPr>
          <w:sz w:val="19"/>
        </w:rPr>
        <w:t>, después del primer trimestre de 2025, los siguientes contratos:</w:t>
      </w:r>
    </w:p>
    <w:p>
      <w:pPr>
        <w:pStyle w:val="BodyText"/>
        <w:spacing w:before="11"/>
        <w:rPr>
          <w:sz w:val="18"/>
        </w:rPr>
      </w:pPr>
    </w:p>
    <w:p>
      <w:pPr>
        <w:pStyle w:val="BodyText"/>
        <w:ind w:left="112" w:right="304"/>
        <w:jc w:val="both"/>
      </w:pPr>
      <w:r>
        <w:rPr/>
        <w:t>1.- Servicio de Prevención Ajeno de Riesgos Laborales y Vigilancia de la Salud para el personal de la Fundación Tutelar Canaria</w:t>
      </w:r>
      <w:r>
        <w:rPr>
          <w:spacing w:val="-4"/>
        </w:rPr>
        <w:t> </w:t>
      </w:r>
      <w:r>
        <w:rPr/>
        <w:t>para</w:t>
      </w:r>
      <w:r>
        <w:rPr>
          <w:spacing w:val="-4"/>
        </w:rPr>
        <w:t> </w:t>
      </w:r>
      <w:r>
        <w:rPr/>
        <w:t>la</w:t>
      </w:r>
      <w:r>
        <w:rPr>
          <w:spacing w:val="-4"/>
        </w:rPr>
        <w:t> </w:t>
      </w:r>
      <w:r>
        <w:rPr/>
        <w:t>Acción</w:t>
      </w:r>
      <w:r>
        <w:rPr>
          <w:spacing w:val="-3"/>
        </w:rPr>
        <w:t> </w:t>
      </w:r>
      <w:r>
        <w:rPr/>
        <w:t>Social,</w:t>
      </w:r>
      <w:r>
        <w:rPr>
          <w:spacing w:val="-4"/>
        </w:rPr>
        <w:t> </w:t>
      </w:r>
      <w:r>
        <w:rPr/>
        <w:t>MP,</w:t>
      </w:r>
      <w:r>
        <w:rPr>
          <w:spacing w:val="-4"/>
        </w:rPr>
        <w:t> </w:t>
      </w:r>
      <w:r>
        <w:rPr/>
        <w:t>publicado</w:t>
      </w:r>
      <w:r>
        <w:rPr>
          <w:spacing w:val="-3"/>
        </w:rPr>
        <w:t> </w:t>
      </w:r>
      <w:r>
        <w:rPr/>
        <w:t>el</w:t>
      </w:r>
      <w:r>
        <w:rPr>
          <w:spacing w:val="-3"/>
        </w:rPr>
        <w:t> </w:t>
      </w:r>
      <w:r>
        <w:rPr/>
        <w:t>17</w:t>
      </w:r>
      <w:r>
        <w:rPr>
          <w:spacing w:val="-4"/>
        </w:rPr>
        <w:t> </w:t>
      </w:r>
      <w:r>
        <w:rPr/>
        <w:t>de</w:t>
      </w:r>
      <w:r>
        <w:rPr>
          <w:spacing w:val="-3"/>
        </w:rPr>
        <w:t> </w:t>
      </w:r>
      <w:r>
        <w:rPr/>
        <w:t>marzo</w:t>
      </w:r>
      <w:r>
        <w:rPr>
          <w:spacing w:val="-4"/>
        </w:rPr>
        <w:t> </w:t>
      </w:r>
      <w:r>
        <w:rPr/>
        <w:t>del</w:t>
      </w:r>
      <w:r>
        <w:rPr>
          <w:spacing w:val="-3"/>
        </w:rPr>
        <w:t> </w:t>
      </w:r>
      <w:r>
        <w:rPr/>
        <w:t>presente</w:t>
      </w:r>
      <w:r>
        <w:rPr>
          <w:spacing w:val="-3"/>
        </w:rPr>
        <w:t> </w:t>
      </w:r>
      <w:r>
        <w:rPr/>
        <w:t>ejercicio,</w:t>
      </w:r>
      <w:r>
        <w:rPr>
          <w:spacing w:val="-4"/>
        </w:rPr>
        <w:t> </w:t>
      </w:r>
      <w:r>
        <w:rPr/>
        <w:t>con</w:t>
      </w:r>
      <w:r>
        <w:rPr>
          <w:spacing w:val="-6"/>
        </w:rPr>
        <w:t> </w:t>
      </w:r>
      <w:r>
        <w:rPr/>
        <w:t>un</w:t>
      </w:r>
      <w:r>
        <w:rPr>
          <w:spacing w:val="-3"/>
        </w:rPr>
        <w:t> </w:t>
      </w:r>
      <w:r>
        <w:rPr/>
        <w:t>presupuesto</w:t>
      </w:r>
      <w:r>
        <w:rPr>
          <w:spacing w:val="-4"/>
        </w:rPr>
        <w:t> </w:t>
      </w:r>
      <w:r>
        <w:rPr/>
        <w:t>base</w:t>
      </w:r>
      <w:r>
        <w:rPr>
          <w:spacing w:val="-4"/>
        </w:rPr>
        <w:t> </w:t>
      </w:r>
      <w:r>
        <w:rPr/>
        <w:t>de</w:t>
      </w:r>
      <w:r>
        <w:rPr>
          <w:spacing w:val="-3"/>
        </w:rPr>
        <w:t> </w:t>
      </w:r>
      <w:r>
        <w:rPr/>
        <w:t>licitación de 42.299,37 euros (con Igic incluido de las actividades no exentas), para 24 meses de servicio y prórroga de 20 meses, y adjudicada el 24 de abril de 2025 a la licitadora QUIRON PREVENCIÓN, S.L.U., con NIF: B64076482, por importe de 27.295,52 € y formalizado el 30 de abril del 2025.</w:t>
      </w:r>
    </w:p>
    <w:p>
      <w:pPr>
        <w:pStyle w:val="BodyText"/>
      </w:pPr>
    </w:p>
    <w:p>
      <w:pPr>
        <w:pStyle w:val="BodyText"/>
        <w:ind w:left="112" w:right="305"/>
        <w:jc w:val="both"/>
      </w:pPr>
      <w:r>
        <w:rPr/>
        <w:t>2.-</w:t>
      </w:r>
      <w:r>
        <w:rPr>
          <w:spacing w:val="-5"/>
        </w:rPr>
        <w:t> </w:t>
      </w:r>
      <w:r>
        <w:rPr/>
        <w:t>Suministro</w:t>
      </w:r>
      <w:r>
        <w:rPr>
          <w:spacing w:val="-4"/>
        </w:rPr>
        <w:t> </w:t>
      </w:r>
      <w:r>
        <w:rPr/>
        <w:t>mediante</w:t>
      </w:r>
      <w:r>
        <w:rPr>
          <w:spacing w:val="-4"/>
        </w:rPr>
        <w:t> </w:t>
      </w:r>
      <w:r>
        <w:rPr/>
        <w:t>el</w:t>
      </w:r>
      <w:r>
        <w:rPr>
          <w:spacing w:val="-3"/>
        </w:rPr>
        <w:t> </w:t>
      </w:r>
      <w:r>
        <w:rPr/>
        <w:t>sistema</w:t>
      </w:r>
      <w:r>
        <w:rPr>
          <w:spacing w:val="-3"/>
        </w:rPr>
        <w:t> </w:t>
      </w:r>
      <w:r>
        <w:rPr/>
        <w:t>de</w:t>
      </w:r>
      <w:r>
        <w:rPr>
          <w:spacing w:val="-4"/>
        </w:rPr>
        <w:t> </w:t>
      </w:r>
      <w:r>
        <w:rPr/>
        <w:t>arrendamiento</w:t>
      </w:r>
      <w:r>
        <w:rPr>
          <w:spacing w:val="-4"/>
        </w:rPr>
        <w:t> </w:t>
      </w:r>
      <w:r>
        <w:rPr/>
        <w:t>sin</w:t>
      </w:r>
      <w:r>
        <w:rPr>
          <w:spacing w:val="-4"/>
        </w:rPr>
        <w:t> </w:t>
      </w:r>
      <w:r>
        <w:rPr/>
        <w:t>opción</w:t>
      </w:r>
      <w:r>
        <w:rPr>
          <w:spacing w:val="-3"/>
        </w:rPr>
        <w:t> </w:t>
      </w:r>
      <w:r>
        <w:rPr/>
        <w:t>de</w:t>
      </w:r>
      <w:r>
        <w:rPr>
          <w:spacing w:val="-4"/>
        </w:rPr>
        <w:t> </w:t>
      </w:r>
      <w:r>
        <w:rPr/>
        <w:t>compra</w:t>
      </w:r>
      <w:r>
        <w:rPr>
          <w:spacing w:val="-4"/>
        </w:rPr>
        <w:t> </w:t>
      </w:r>
      <w:r>
        <w:rPr/>
        <w:t>y</w:t>
      </w:r>
      <w:r>
        <w:rPr>
          <w:spacing w:val="-3"/>
        </w:rPr>
        <w:t> </w:t>
      </w:r>
      <w:r>
        <w:rPr/>
        <w:t>Mantenimiento</w:t>
      </w:r>
      <w:r>
        <w:rPr>
          <w:spacing w:val="-3"/>
        </w:rPr>
        <w:t> </w:t>
      </w:r>
      <w:r>
        <w:rPr/>
        <w:t>Integral</w:t>
      </w:r>
      <w:r>
        <w:rPr>
          <w:spacing w:val="-3"/>
        </w:rPr>
        <w:t> </w:t>
      </w:r>
      <w:r>
        <w:rPr/>
        <w:t>de</w:t>
      </w:r>
      <w:r>
        <w:rPr>
          <w:spacing w:val="-4"/>
        </w:rPr>
        <w:t> </w:t>
      </w:r>
      <w:r>
        <w:rPr/>
        <w:t>Equipos</w:t>
      </w:r>
      <w:r>
        <w:rPr>
          <w:spacing w:val="-3"/>
        </w:rPr>
        <w:t> </w:t>
      </w:r>
      <w:r>
        <w:rPr/>
        <w:t>Digitales Multifunción (Impresora, Fotocopiadora y Escáner) Inteligentes con Aplicaciones Integradas para la creación de flujos de trabajo digital (Gestión, Control y Automatización Documental) para la Fundación Tutelar Canaria Para La Acción Social, M.P., publicado en la plataforma de contratación del sector público el 21 de marzo del presente ejercicio, con un presupuesto base de licitación de 82.494,10 euros (con Igic incluido), para 60 meses de servicio y sin opción a prórroga, y adjudicada el 25 de abril de 2025 a la licitadora KANARINOLTA, S.L., con NIF: B35712678, por importe de 81.216,52 € (Igic incluido) y formalizado el 1 de mayo del</w:t>
      </w:r>
      <w:r>
        <w:rPr>
          <w:spacing w:val="-1"/>
        </w:rPr>
        <w:t> </w:t>
      </w:r>
      <w:r>
        <w:rPr/>
        <w:t>2025.</w:t>
      </w:r>
    </w:p>
    <w:p>
      <w:pPr>
        <w:pStyle w:val="BodyText"/>
        <w:spacing w:before="1"/>
      </w:pPr>
    </w:p>
    <w:p>
      <w:pPr>
        <w:pStyle w:val="BodyText"/>
        <w:spacing w:before="1"/>
        <w:ind w:left="111" w:right="305"/>
        <w:jc w:val="both"/>
      </w:pPr>
      <w:r>
        <w:rPr/>
        <w:t>3.- Servicio mantenimiento informático de de la Fundación Tutelar Canaria para la Acción Social, MP, publicado el 29 de mayo</w:t>
      </w:r>
      <w:r>
        <w:rPr>
          <w:spacing w:val="-6"/>
        </w:rPr>
        <w:t> </w:t>
      </w:r>
      <w:r>
        <w:rPr/>
        <w:t>del</w:t>
      </w:r>
      <w:r>
        <w:rPr>
          <w:spacing w:val="-5"/>
        </w:rPr>
        <w:t> </w:t>
      </w:r>
      <w:r>
        <w:rPr/>
        <w:t>presente</w:t>
      </w:r>
      <w:r>
        <w:rPr>
          <w:spacing w:val="-6"/>
        </w:rPr>
        <w:t> </w:t>
      </w:r>
      <w:r>
        <w:rPr/>
        <w:t>ejercicio,</w:t>
      </w:r>
      <w:r>
        <w:rPr>
          <w:spacing w:val="-9"/>
        </w:rPr>
        <w:t> </w:t>
      </w:r>
      <w:r>
        <w:rPr/>
        <w:t>con</w:t>
      </w:r>
      <w:r>
        <w:rPr>
          <w:spacing w:val="-6"/>
        </w:rPr>
        <w:t> </w:t>
      </w:r>
      <w:r>
        <w:rPr/>
        <w:t>un</w:t>
      </w:r>
      <w:r>
        <w:rPr>
          <w:spacing w:val="-6"/>
        </w:rPr>
        <w:t> </w:t>
      </w:r>
      <w:r>
        <w:rPr/>
        <w:t>presupuesto</w:t>
      </w:r>
      <w:r>
        <w:rPr>
          <w:spacing w:val="-6"/>
        </w:rPr>
        <w:t> </w:t>
      </w:r>
      <w:r>
        <w:rPr/>
        <w:t>base</w:t>
      </w:r>
      <w:r>
        <w:rPr>
          <w:spacing w:val="-6"/>
        </w:rPr>
        <w:t> </w:t>
      </w:r>
      <w:r>
        <w:rPr/>
        <w:t>de</w:t>
      </w:r>
      <w:r>
        <w:rPr>
          <w:spacing w:val="-6"/>
        </w:rPr>
        <w:t> </w:t>
      </w:r>
      <w:r>
        <w:rPr/>
        <w:t>licitación</w:t>
      </w:r>
      <w:r>
        <w:rPr>
          <w:spacing w:val="-6"/>
        </w:rPr>
        <w:t> </w:t>
      </w:r>
      <w:r>
        <w:rPr/>
        <w:t>de</w:t>
      </w:r>
      <w:r>
        <w:rPr>
          <w:spacing w:val="-6"/>
        </w:rPr>
        <w:t> </w:t>
      </w:r>
      <w:r>
        <w:rPr/>
        <w:t>105.629,31</w:t>
      </w:r>
      <w:r>
        <w:rPr>
          <w:spacing w:val="-5"/>
        </w:rPr>
        <w:t> </w:t>
      </w:r>
      <w:r>
        <w:rPr/>
        <w:t>euros</w:t>
      </w:r>
      <w:r>
        <w:rPr>
          <w:spacing w:val="-5"/>
        </w:rPr>
        <w:t> </w:t>
      </w:r>
      <w:r>
        <w:rPr/>
        <w:t>(con</w:t>
      </w:r>
      <w:r>
        <w:rPr>
          <w:spacing w:val="-6"/>
        </w:rPr>
        <w:t> </w:t>
      </w:r>
      <w:r>
        <w:rPr/>
        <w:t>Igic</w:t>
      </w:r>
      <w:r>
        <w:rPr>
          <w:spacing w:val="-5"/>
        </w:rPr>
        <w:t> </w:t>
      </w:r>
      <w:r>
        <w:rPr/>
        <w:t>incluido),</w:t>
      </w:r>
      <w:r>
        <w:rPr>
          <w:spacing w:val="-6"/>
        </w:rPr>
        <w:t> </w:t>
      </w:r>
      <w:r>
        <w:rPr/>
        <w:t>para</w:t>
      </w:r>
      <w:r>
        <w:rPr>
          <w:spacing w:val="-6"/>
        </w:rPr>
        <w:t> </w:t>
      </w:r>
      <w:r>
        <w:rPr/>
        <w:t>36</w:t>
      </w:r>
      <w:r>
        <w:rPr>
          <w:spacing w:val="-6"/>
        </w:rPr>
        <w:t> </w:t>
      </w:r>
      <w:r>
        <w:rPr/>
        <w:t>meses de servicio y prórroga de 24 meses, y adjudicada el 9 de julio de 2025 a la licitadora SERGIO LUIS RODRIGUEZ</w:t>
      </w:r>
      <w:r>
        <w:rPr>
          <w:spacing w:val="-35"/>
        </w:rPr>
        <w:t> </w:t>
      </w:r>
      <w:r>
        <w:rPr/>
        <w:t>VEGA., con NIF: ***6061**, por importe de 95.067,17 € (Igic incluido) y formalizado el 31 de julio del</w:t>
      </w:r>
      <w:r>
        <w:rPr>
          <w:spacing w:val="-6"/>
        </w:rPr>
        <w:t> </w:t>
      </w:r>
      <w:r>
        <w:rPr/>
        <w:t>2025.</w:t>
      </w:r>
    </w:p>
    <w:p>
      <w:pPr>
        <w:pStyle w:val="BodyText"/>
        <w:spacing w:before="11"/>
        <w:rPr>
          <w:sz w:val="18"/>
        </w:rPr>
      </w:pPr>
    </w:p>
    <w:p>
      <w:pPr>
        <w:pStyle w:val="BodyText"/>
        <w:ind w:left="111" w:right="305"/>
        <w:jc w:val="both"/>
      </w:pPr>
      <w:r>
        <w:rPr/>
        <w:t>4.- Servicio Sociosanitario del Centro de día Los Ruiseñores de atención a personas en situación de dependencia por discapacidad física (Las Palmas de Gran Canaria), de la Fundación Tutelar Canaria para la Acción Social, MP, publicado el 31 de julio del presente ejercicio, con un presupuesto base de licitación de 249.599,24 euros (exento de Igic), para 24 meses</w:t>
      </w:r>
      <w:r>
        <w:rPr>
          <w:spacing w:val="-4"/>
        </w:rPr>
        <w:t> </w:t>
      </w:r>
      <w:r>
        <w:rPr/>
        <w:t>de</w:t>
      </w:r>
      <w:r>
        <w:rPr>
          <w:spacing w:val="-4"/>
        </w:rPr>
        <w:t> </w:t>
      </w:r>
      <w:r>
        <w:rPr/>
        <w:t>servicio</w:t>
      </w:r>
      <w:r>
        <w:rPr>
          <w:spacing w:val="-6"/>
        </w:rPr>
        <w:t> </w:t>
      </w:r>
      <w:r>
        <w:rPr/>
        <w:t>y</w:t>
      </w:r>
      <w:r>
        <w:rPr>
          <w:spacing w:val="-3"/>
        </w:rPr>
        <w:t> </w:t>
      </w:r>
      <w:r>
        <w:rPr/>
        <w:t>prórroga</w:t>
      </w:r>
      <w:r>
        <w:rPr>
          <w:spacing w:val="-1"/>
        </w:rPr>
        <w:t> </w:t>
      </w:r>
      <w:r>
        <w:rPr/>
        <w:t>de</w:t>
      </w:r>
      <w:r>
        <w:rPr>
          <w:spacing w:val="-4"/>
        </w:rPr>
        <w:t> </w:t>
      </w:r>
      <w:r>
        <w:rPr/>
        <w:t>12</w:t>
      </w:r>
      <w:r>
        <w:rPr>
          <w:spacing w:val="-4"/>
        </w:rPr>
        <w:t> </w:t>
      </w:r>
      <w:r>
        <w:rPr/>
        <w:t>meses,</w:t>
      </w:r>
      <w:r>
        <w:rPr>
          <w:spacing w:val="-4"/>
        </w:rPr>
        <w:t> </w:t>
      </w:r>
      <w:r>
        <w:rPr/>
        <w:t>y</w:t>
      </w:r>
      <w:r>
        <w:rPr>
          <w:spacing w:val="-4"/>
        </w:rPr>
        <w:t> </w:t>
      </w:r>
      <w:r>
        <w:rPr/>
        <w:t>adjudicada</w:t>
      </w:r>
      <w:r>
        <w:rPr>
          <w:spacing w:val="-6"/>
        </w:rPr>
        <w:t> </w:t>
      </w:r>
      <w:r>
        <w:rPr/>
        <w:t>el</w:t>
      </w:r>
      <w:r>
        <w:rPr>
          <w:spacing w:val="-3"/>
        </w:rPr>
        <w:t> </w:t>
      </w:r>
      <w:r>
        <w:rPr/>
        <w:t>10</w:t>
      </w:r>
      <w:r>
        <w:rPr>
          <w:spacing w:val="-4"/>
        </w:rPr>
        <w:t> </w:t>
      </w:r>
      <w:r>
        <w:rPr/>
        <w:t>de</w:t>
      </w:r>
      <w:r>
        <w:rPr>
          <w:spacing w:val="-4"/>
        </w:rPr>
        <w:t> </w:t>
      </w:r>
      <w:r>
        <w:rPr/>
        <w:t>octubre</w:t>
      </w:r>
      <w:r>
        <w:rPr>
          <w:spacing w:val="-4"/>
        </w:rPr>
        <w:t> </w:t>
      </w:r>
      <w:r>
        <w:rPr/>
        <w:t>de</w:t>
      </w:r>
      <w:r>
        <w:rPr>
          <w:spacing w:val="-4"/>
        </w:rPr>
        <w:t> </w:t>
      </w:r>
      <w:r>
        <w:rPr/>
        <w:t>2025</w:t>
      </w:r>
      <w:r>
        <w:rPr>
          <w:spacing w:val="-4"/>
        </w:rPr>
        <w:t> </w:t>
      </w:r>
      <w:r>
        <w:rPr/>
        <w:t>a</w:t>
      </w:r>
      <w:r>
        <w:rPr>
          <w:spacing w:val="-4"/>
        </w:rPr>
        <w:t> </w:t>
      </w:r>
      <w:r>
        <w:rPr/>
        <w:t>la</w:t>
      </w:r>
      <w:r>
        <w:rPr>
          <w:spacing w:val="-4"/>
        </w:rPr>
        <w:t> </w:t>
      </w:r>
      <w:r>
        <w:rPr/>
        <w:t>licitadora</w:t>
      </w:r>
      <w:r>
        <w:rPr>
          <w:spacing w:val="-5"/>
        </w:rPr>
        <w:t> </w:t>
      </w:r>
      <w:r>
        <w:rPr/>
        <w:t>FORMAS</w:t>
      </w:r>
      <w:r>
        <w:rPr>
          <w:spacing w:val="-3"/>
        </w:rPr>
        <w:t> </w:t>
      </w:r>
      <w:r>
        <w:rPr/>
        <w:t>NIVARIA,</w:t>
      </w:r>
      <w:r>
        <w:rPr>
          <w:spacing w:val="-4"/>
        </w:rPr>
        <w:t> </w:t>
      </w:r>
      <w:r>
        <w:rPr/>
        <w:t>S.L., con NIF: B76512656, por importe de 245.560,00 € y formalizado el 7 de noviembre del</w:t>
      </w:r>
      <w:r>
        <w:rPr>
          <w:spacing w:val="-4"/>
        </w:rPr>
        <w:t> </w:t>
      </w:r>
      <w:r>
        <w:rPr/>
        <w:t>2025.</w:t>
      </w:r>
    </w:p>
    <w:p>
      <w:pPr>
        <w:pStyle w:val="BodyText"/>
        <w:spacing w:before="11"/>
        <w:rPr>
          <w:sz w:val="18"/>
        </w:rPr>
      </w:pPr>
    </w:p>
    <w:p>
      <w:pPr>
        <w:pStyle w:val="BodyText"/>
        <w:ind w:left="112"/>
        <w:jc w:val="both"/>
      </w:pPr>
      <w:r>
        <w:rPr/>
        <w:t>Se detallan los mismos en el siguiente cuadro:</w:t>
      </w:r>
    </w:p>
    <w:tbl>
      <w:tblPr>
        <w:tblW w:w="0" w:type="auto"/>
        <w:jc w:val="left"/>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94"/>
        <w:gridCol w:w="1408"/>
        <w:gridCol w:w="2294"/>
        <w:gridCol w:w="2836"/>
        <w:gridCol w:w="1132"/>
        <w:gridCol w:w="1314"/>
      </w:tblGrid>
      <w:tr>
        <w:trPr>
          <w:trHeight w:val="378" w:hRule="atLeast"/>
        </w:trPr>
        <w:tc>
          <w:tcPr>
            <w:tcW w:w="1394" w:type="dxa"/>
          </w:tcPr>
          <w:p>
            <w:pPr>
              <w:pStyle w:val="TableParagraph"/>
              <w:spacing w:before="62"/>
              <w:ind w:left="383" w:right="157" w:hanging="197"/>
              <w:jc w:val="left"/>
              <w:rPr>
                <w:b/>
                <w:sz w:val="11"/>
              </w:rPr>
            </w:pPr>
            <w:r>
              <w:rPr>
                <w:b/>
                <w:sz w:val="11"/>
              </w:rPr>
              <w:t>CATEGORÍA DE LA LICITACIÓN</w:t>
            </w:r>
          </w:p>
        </w:tc>
        <w:tc>
          <w:tcPr>
            <w:tcW w:w="1408" w:type="dxa"/>
          </w:tcPr>
          <w:p>
            <w:pPr>
              <w:pStyle w:val="TableParagraph"/>
              <w:spacing w:before="62"/>
              <w:ind w:left="285" w:right="210" w:hanging="46"/>
              <w:jc w:val="left"/>
              <w:rPr>
                <w:b/>
                <w:sz w:val="11"/>
              </w:rPr>
            </w:pPr>
            <w:r>
              <w:rPr>
                <w:b/>
                <w:sz w:val="11"/>
              </w:rPr>
              <w:t>PROCEDIMIENTO ADJUDICACIÓN</w:t>
            </w:r>
          </w:p>
        </w:tc>
        <w:tc>
          <w:tcPr>
            <w:tcW w:w="2294" w:type="dxa"/>
          </w:tcPr>
          <w:p>
            <w:pPr>
              <w:pStyle w:val="TableParagraph"/>
              <w:jc w:val="left"/>
              <w:rPr>
                <w:sz w:val="11"/>
              </w:rPr>
            </w:pPr>
          </w:p>
          <w:p>
            <w:pPr>
              <w:pStyle w:val="TableParagraph"/>
              <w:ind w:left="245" w:right="234"/>
              <w:rPr>
                <w:b/>
                <w:sz w:val="11"/>
              </w:rPr>
            </w:pPr>
            <w:r>
              <w:rPr>
                <w:b/>
                <w:sz w:val="11"/>
              </w:rPr>
              <w:t>ADJUDICATARIO</w:t>
            </w:r>
          </w:p>
        </w:tc>
        <w:tc>
          <w:tcPr>
            <w:tcW w:w="2836" w:type="dxa"/>
          </w:tcPr>
          <w:p>
            <w:pPr>
              <w:pStyle w:val="TableParagraph"/>
              <w:jc w:val="left"/>
              <w:rPr>
                <w:sz w:val="11"/>
              </w:rPr>
            </w:pPr>
          </w:p>
          <w:p>
            <w:pPr>
              <w:pStyle w:val="TableParagraph"/>
              <w:ind w:left="216" w:right="199"/>
              <w:rPr>
                <w:b/>
                <w:sz w:val="11"/>
              </w:rPr>
            </w:pPr>
            <w:r>
              <w:rPr>
                <w:b/>
                <w:sz w:val="11"/>
              </w:rPr>
              <w:t>OBJETO DEL CONTRATO</w:t>
            </w:r>
          </w:p>
        </w:tc>
        <w:tc>
          <w:tcPr>
            <w:tcW w:w="1132" w:type="dxa"/>
          </w:tcPr>
          <w:p>
            <w:pPr>
              <w:pStyle w:val="TableParagraph"/>
              <w:spacing w:before="62"/>
              <w:ind w:left="242" w:right="206" w:firstLine="79"/>
              <w:jc w:val="left"/>
              <w:rPr>
                <w:b/>
                <w:sz w:val="11"/>
              </w:rPr>
            </w:pPr>
            <w:r>
              <w:rPr>
                <w:b/>
                <w:sz w:val="11"/>
              </w:rPr>
              <w:t>CENTRO/ PROGRAMA</w:t>
            </w:r>
          </w:p>
        </w:tc>
        <w:tc>
          <w:tcPr>
            <w:tcW w:w="1314" w:type="dxa"/>
          </w:tcPr>
          <w:p>
            <w:pPr>
              <w:pStyle w:val="TableParagraph"/>
              <w:ind w:left="252" w:right="237" w:hanging="2"/>
              <w:rPr>
                <w:b/>
                <w:sz w:val="11"/>
              </w:rPr>
            </w:pPr>
            <w:r>
              <w:rPr>
                <w:b/>
                <w:sz w:val="11"/>
              </w:rPr>
              <w:t>IMPORTE FORMALIZADO</w:t>
            </w:r>
          </w:p>
          <w:p>
            <w:pPr>
              <w:pStyle w:val="TableParagraph"/>
              <w:spacing w:line="106" w:lineRule="exact"/>
              <w:ind w:left="294" w:right="281"/>
              <w:rPr>
                <w:b/>
                <w:sz w:val="11"/>
              </w:rPr>
            </w:pPr>
            <w:r>
              <w:rPr>
                <w:b/>
                <w:sz w:val="11"/>
              </w:rPr>
              <w:t>(con Igic)</w:t>
            </w:r>
          </w:p>
        </w:tc>
      </w:tr>
      <w:tr>
        <w:trPr>
          <w:trHeight w:val="210" w:hRule="atLeast"/>
        </w:trPr>
        <w:tc>
          <w:tcPr>
            <w:tcW w:w="1394" w:type="dxa"/>
          </w:tcPr>
          <w:p>
            <w:pPr>
              <w:pStyle w:val="TableParagraph"/>
              <w:spacing w:before="43"/>
              <w:ind w:left="418" w:right="404"/>
              <w:rPr>
                <w:sz w:val="11"/>
              </w:rPr>
            </w:pPr>
            <w:r>
              <w:rPr>
                <w:sz w:val="11"/>
              </w:rPr>
              <w:t>Servicios</w:t>
            </w:r>
          </w:p>
        </w:tc>
        <w:tc>
          <w:tcPr>
            <w:tcW w:w="1408" w:type="dxa"/>
          </w:tcPr>
          <w:p>
            <w:pPr>
              <w:pStyle w:val="TableParagraph"/>
              <w:spacing w:before="43"/>
              <w:ind w:left="513" w:right="496"/>
              <w:rPr>
                <w:sz w:val="11"/>
              </w:rPr>
            </w:pPr>
            <w:r>
              <w:rPr>
                <w:sz w:val="11"/>
              </w:rPr>
              <w:t>Abierto</w:t>
            </w:r>
          </w:p>
        </w:tc>
        <w:tc>
          <w:tcPr>
            <w:tcW w:w="2294" w:type="dxa"/>
          </w:tcPr>
          <w:p>
            <w:pPr>
              <w:pStyle w:val="TableParagraph"/>
              <w:spacing w:before="43"/>
              <w:ind w:left="247" w:right="234"/>
              <w:rPr>
                <w:sz w:val="11"/>
              </w:rPr>
            </w:pPr>
            <w:r>
              <w:rPr>
                <w:sz w:val="11"/>
              </w:rPr>
              <w:t>QUIRON PREVENCIÓN, S.L.U.</w:t>
            </w:r>
          </w:p>
        </w:tc>
        <w:tc>
          <w:tcPr>
            <w:tcW w:w="2836" w:type="dxa"/>
          </w:tcPr>
          <w:p>
            <w:pPr>
              <w:pStyle w:val="TableParagraph"/>
              <w:spacing w:before="43"/>
              <w:ind w:left="216" w:right="202"/>
              <w:rPr>
                <w:sz w:val="11"/>
              </w:rPr>
            </w:pPr>
            <w:r>
              <w:rPr>
                <w:sz w:val="11"/>
              </w:rPr>
              <w:t>Prevención Riesgos Laborales / Vigilancia Salud</w:t>
            </w:r>
          </w:p>
        </w:tc>
        <w:tc>
          <w:tcPr>
            <w:tcW w:w="1132" w:type="dxa"/>
          </w:tcPr>
          <w:p>
            <w:pPr>
              <w:pStyle w:val="TableParagraph"/>
              <w:spacing w:before="43"/>
              <w:ind w:left="371" w:right="355"/>
              <w:rPr>
                <w:sz w:val="11"/>
              </w:rPr>
            </w:pPr>
            <w:r>
              <w:rPr>
                <w:sz w:val="11"/>
              </w:rPr>
              <w:t>FuCAS</w:t>
            </w:r>
          </w:p>
        </w:tc>
        <w:tc>
          <w:tcPr>
            <w:tcW w:w="1314" w:type="dxa"/>
          </w:tcPr>
          <w:p>
            <w:pPr>
              <w:pStyle w:val="TableParagraph"/>
              <w:spacing w:before="43"/>
              <w:ind w:left="294" w:right="281"/>
              <w:rPr>
                <w:sz w:val="11"/>
              </w:rPr>
            </w:pPr>
            <w:r>
              <w:rPr>
                <w:sz w:val="11"/>
              </w:rPr>
              <w:t>27.295,52 €</w:t>
            </w:r>
          </w:p>
        </w:tc>
      </w:tr>
      <w:tr>
        <w:trPr>
          <w:trHeight w:val="210" w:hRule="atLeast"/>
        </w:trPr>
        <w:tc>
          <w:tcPr>
            <w:tcW w:w="1394" w:type="dxa"/>
          </w:tcPr>
          <w:p>
            <w:pPr>
              <w:pStyle w:val="TableParagraph"/>
              <w:spacing w:before="40"/>
              <w:ind w:left="420" w:right="404"/>
              <w:rPr>
                <w:sz w:val="11"/>
              </w:rPr>
            </w:pPr>
            <w:r>
              <w:rPr>
                <w:sz w:val="11"/>
              </w:rPr>
              <w:t>Suministro</w:t>
            </w:r>
          </w:p>
        </w:tc>
        <w:tc>
          <w:tcPr>
            <w:tcW w:w="1408" w:type="dxa"/>
          </w:tcPr>
          <w:p>
            <w:pPr>
              <w:pStyle w:val="TableParagraph"/>
              <w:spacing w:before="40"/>
              <w:ind w:left="513" w:right="496"/>
              <w:rPr>
                <w:sz w:val="11"/>
              </w:rPr>
            </w:pPr>
            <w:r>
              <w:rPr>
                <w:sz w:val="11"/>
              </w:rPr>
              <w:t>Abierto</w:t>
            </w:r>
          </w:p>
        </w:tc>
        <w:tc>
          <w:tcPr>
            <w:tcW w:w="2294" w:type="dxa"/>
          </w:tcPr>
          <w:p>
            <w:pPr>
              <w:pStyle w:val="TableParagraph"/>
              <w:spacing w:before="40"/>
              <w:ind w:left="248" w:right="234"/>
              <w:rPr>
                <w:sz w:val="11"/>
              </w:rPr>
            </w:pPr>
            <w:r>
              <w:rPr>
                <w:sz w:val="11"/>
              </w:rPr>
              <w:t>KANARINOLTA, S.L.</w:t>
            </w:r>
          </w:p>
        </w:tc>
        <w:tc>
          <w:tcPr>
            <w:tcW w:w="2836" w:type="dxa"/>
          </w:tcPr>
          <w:p>
            <w:pPr>
              <w:pStyle w:val="TableParagraph"/>
              <w:spacing w:before="40"/>
              <w:ind w:left="216" w:right="201"/>
              <w:rPr>
                <w:sz w:val="11"/>
              </w:rPr>
            </w:pPr>
            <w:r>
              <w:rPr>
                <w:sz w:val="11"/>
              </w:rPr>
              <w:t>Equipos digitales multifunción</w:t>
            </w:r>
          </w:p>
        </w:tc>
        <w:tc>
          <w:tcPr>
            <w:tcW w:w="1132" w:type="dxa"/>
          </w:tcPr>
          <w:p>
            <w:pPr>
              <w:pStyle w:val="TableParagraph"/>
              <w:spacing w:before="40"/>
              <w:ind w:left="371" w:right="355"/>
              <w:rPr>
                <w:sz w:val="11"/>
              </w:rPr>
            </w:pPr>
            <w:r>
              <w:rPr>
                <w:sz w:val="11"/>
              </w:rPr>
              <w:t>FuCAS</w:t>
            </w:r>
          </w:p>
        </w:tc>
        <w:tc>
          <w:tcPr>
            <w:tcW w:w="1314" w:type="dxa"/>
          </w:tcPr>
          <w:p>
            <w:pPr>
              <w:pStyle w:val="TableParagraph"/>
              <w:spacing w:before="40"/>
              <w:ind w:left="294" w:right="281"/>
              <w:rPr>
                <w:sz w:val="11"/>
              </w:rPr>
            </w:pPr>
            <w:r>
              <w:rPr>
                <w:sz w:val="11"/>
              </w:rPr>
              <w:t>81.216,52 €</w:t>
            </w:r>
          </w:p>
        </w:tc>
      </w:tr>
      <w:tr>
        <w:trPr>
          <w:trHeight w:val="208" w:hRule="atLeast"/>
        </w:trPr>
        <w:tc>
          <w:tcPr>
            <w:tcW w:w="1394" w:type="dxa"/>
          </w:tcPr>
          <w:p>
            <w:pPr>
              <w:pStyle w:val="TableParagraph"/>
              <w:spacing w:before="40"/>
              <w:ind w:left="418" w:right="404"/>
              <w:rPr>
                <w:sz w:val="11"/>
              </w:rPr>
            </w:pPr>
            <w:r>
              <w:rPr>
                <w:sz w:val="11"/>
              </w:rPr>
              <w:t>Servicios</w:t>
            </w:r>
          </w:p>
        </w:tc>
        <w:tc>
          <w:tcPr>
            <w:tcW w:w="1408" w:type="dxa"/>
          </w:tcPr>
          <w:p>
            <w:pPr>
              <w:pStyle w:val="TableParagraph"/>
              <w:spacing w:before="40"/>
              <w:ind w:left="513" w:right="496"/>
              <w:rPr>
                <w:sz w:val="11"/>
              </w:rPr>
            </w:pPr>
            <w:r>
              <w:rPr>
                <w:sz w:val="11"/>
              </w:rPr>
              <w:t>Abierto</w:t>
            </w:r>
          </w:p>
        </w:tc>
        <w:tc>
          <w:tcPr>
            <w:tcW w:w="2294" w:type="dxa"/>
          </w:tcPr>
          <w:p>
            <w:pPr>
              <w:pStyle w:val="TableParagraph"/>
              <w:spacing w:before="40"/>
              <w:ind w:left="248" w:right="234"/>
              <w:rPr>
                <w:sz w:val="11"/>
              </w:rPr>
            </w:pPr>
            <w:r>
              <w:rPr>
                <w:sz w:val="11"/>
              </w:rPr>
              <w:t>SERGIO LUIS RODRIGUEZ VEGA.</w:t>
            </w:r>
          </w:p>
        </w:tc>
        <w:tc>
          <w:tcPr>
            <w:tcW w:w="2836" w:type="dxa"/>
          </w:tcPr>
          <w:p>
            <w:pPr>
              <w:pStyle w:val="TableParagraph"/>
              <w:spacing w:before="40"/>
              <w:ind w:left="216" w:right="202"/>
              <w:rPr>
                <w:sz w:val="11"/>
              </w:rPr>
            </w:pPr>
            <w:r>
              <w:rPr>
                <w:sz w:val="11"/>
              </w:rPr>
              <w:t>Mantenimiento Informático</w:t>
            </w:r>
          </w:p>
        </w:tc>
        <w:tc>
          <w:tcPr>
            <w:tcW w:w="1132" w:type="dxa"/>
          </w:tcPr>
          <w:p>
            <w:pPr>
              <w:pStyle w:val="TableParagraph"/>
              <w:spacing w:before="40"/>
              <w:ind w:left="371" w:right="355"/>
              <w:rPr>
                <w:sz w:val="11"/>
              </w:rPr>
            </w:pPr>
            <w:r>
              <w:rPr>
                <w:sz w:val="11"/>
              </w:rPr>
              <w:t>FuCAS</w:t>
            </w:r>
          </w:p>
        </w:tc>
        <w:tc>
          <w:tcPr>
            <w:tcW w:w="1314" w:type="dxa"/>
          </w:tcPr>
          <w:p>
            <w:pPr>
              <w:pStyle w:val="TableParagraph"/>
              <w:spacing w:before="40"/>
              <w:ind w:left="294" w:right="281"/>
              <w:rPr>
                <w:sz w:val="11"/>
              </w:rPr>
            </w:pPr>
            <w:r>
              <w:rPr>
                <w:sz w:val="11"/>
              </w:rPr>
              <w:t>95.067,17 €</w:t>
            </w:r>
          </w:p>
        </w:tc>
      </w:tr>
      <w:tr>
        <w:trPr>
          <w:trHeight w:val="210" w:hRule="atLeast"/>
        </w:trPr>
        <w:tc>
          <w:tcPr>
            <w:tcW w:w="1394" w:type="dxa"/>
          </w:tcPr>
          <w:p>
            <w:pPr>
              <w:pStyle w:val="TableParagraph"/>
              <w:spacing w:before="43"/>
              <w:ind w:left="418" w:right="404"/>
              <w:rPr>
                <w:sz w:val="11"/>
              </w:rPr>
            </w:pPr>
            <w:r>
              <w:rPr>
                <w:sz w:val="11"/>
              </w:rPr>
              <w:t>Servicios</w:t>
            </w:r>
          </w:p>
        </w:tc>
        <w:tc>
          <w:tcPr>
            <w:tcW w:w="1408" w:type="dxa"/>
          </w:tcPr>
          <w:p>
            <w:pPr>
              <w:pStyle w:val="TableParagraph"/>
              <w:spacing w:before="43"/>
              <w:ind w:left="513" w:right="496"/>
              <w:rPr>
                <w:sz w:val="11"/>
              </w:rPr>
            </w:pPr>
            <w:r>
              <w:rPr>
                <w:sz w:val="11"/>
              </w:rPr>
              <w:t>Abierto</w:t>
            </w:r>
          </w:p>
        </w:tc>
        <w:tc>
          <w:tcPr>
            <w:tcW w:w="2294" w:type="dxa"/>
          </w:tcPr>
          <w:p>
            <w:pPr>
              <w:pStyle w:val="TableParagraph"/>
              <w:spacing w:before="43"/>
              <w:ind w:left="245" w:right="234"/>
              <w:rPr>
                <w:sz w:val="11"/>
              </w:rPr>
            </w:pPr>
            <w:r>
              <w:rPr>
                <w:sz w:val="11"/>
              </w:rPr>
              <w:t>FORMAS NIVARIA, S.L.</w:t>
            </w:r>
          </w:p>
        </w:tc>
        <w:tc>
          <w:tcPr>
            <w:tcW w:w="2836" w:type="dxa"/>
          </w:tcPr>
          <w:p>
            <w:pPr>
              <w:pStyle w:val="TableParagraph"/>
              <w:spacing w:before="43"/>
              <w:ind w:left="216" w:right="202"/>
              <w:rPr>
                <w:sz w:val="11"/>
              </w:rPr>
            </w:pPr>
            <w:r>
              <w:rPr>
                <w:sz w:val="11"/>
              </w:rPr>
              <w:t>Sociosanitario</w:t>
            </w:r>
          </w:p>
        </w:tc>
        <w:tc>
          <w:tcPr>
            <w:tcW w:w="1132" w:type="dxa"/>
          </w:tcPr>
          <w:p>
            <w:pPr>
              <w:pStyle w:val="TableParagraph"/>
              <w:spacing w:before="43"/>
              <w:ind w:left="220"/>
              <w:jc w:val="left"/>
              <w:rPr>
                <w:sz w:val="11"/>
              </w:rPr>
            </w:pPr>
            <w:r>
              <w:rPr>
                <w:sz w:val="11"/>
              </w:rPr>
              <w:t>C. Ruiseñores</w:t>
            </w:r>
          </w:p>
        </w:tc>
        <w:tc>
          <w:tcPr>
            <w:tcW w:w="1314" w:type="dxa"/>
          </w:tcPr>
          <w:p>
            <w:pPr>
              <w:pStyle w:val="TableParagraph"/>
              <w:spacing w:before="43"/>
              <w:ind w:left="297" w:right="281"/>
              <w:rPr>
                <w:sz w:val="11"/>
              </w:rPr>
            </w:pPr>
            <w:r>
              <w:rPr>
                <w:sz w:val="11"/>
              </w:rPr>
              <w:t>245.560,00 €*</w:t>
            </w:r>
          </w:p>
        </w:tc>
      </w:tr>
    </w:tbl>
    <w:p>
      <w:pPr>
        <w:spacing w:before="0"/>
        <w:ind w:left="0" w:right="305" w:firstLine="0"/>
        <w:jc w:val="right"/>
        <w:rPr>
          <w:i/>
          <w:sz w:val="11"/>
        </w:rPr>
      </w:pPr>
      <w:r>
        <w:rPr>
          <w:i/>
          <w:sz w:val="11"/>
        </w:rPr>
        <w:t>*Exento Igic.</w:t>
      </w:r>
    </w:p>
    <w:p>
      <w:pPr>
        <w:pStyle w:val="BodyText"/>
        <w:rPr>
          <w:i/>
          <w:sz w:val="12"/>
        </w:rPr>
      </w:pPr>
    </w:p>
    <w:p>
      <w:pPr>
        <w:pStyle w:val="BodyText"/>
        <w:spacing w:before="92"/>
        <w:ind w:left="112" w:right="304"/>
        <w:jc w:val="both"/>
      </w:pPr>
      <w:r>
        <w:rPr/>
        <w:t>Por procedimiento abierto ordinario se está licitando el Servicio de Limpieza del centro de Mayores de Marzagan y diferentes Oficinas de FuCAS en Gran Canaria, para 24 meses con opción a prórroga de 12 meses, publicado el pasado 13</w:t>
      </w:r>
      <w:r>
        <w:rPr>
          <w:spacing w:val="-12"/>
        </w:rPr>
        <w:t> </w:t>
      </w:r>
      <w:r>
        <w:rPr/>
        <w:t>de</w:t>
      </w:r>
      <w:r>
        <w:rPr>
          <w:spacing w:val="-11"/>
        </w:rPr>
        <w:t> </w:t>
      </w:r>
      <w:r>
        <w:rPr/>
        <w:t>noviembre</w:t>
      </w:r>
      <w:r>
        <w:rPr>
          <w:spacing w:val="-11"/>
        </w:rPr>
        <w:t> </w:t>
      </w:r>
      <w:r>
        <w:rPr/>
        <w:t>de</w:t>
      </w:r>
      <w:r>
        <w:rPr>
          <w:spacing w:val="-13"/>
        </w:rPr>
        <w:t> </w:t>
      </w:r>
      <w:r>
        <w:rPr/>
        <w:t>2025</w:t>
      </w:r>
      <w:r>
        <w:rPr>
          <w:spacing w:val="-12"/>
        </w:rPr>
        <w:t> </w:t>
      </w:r>
      <w:r>
        <w:rPr/>
        <w:t>y</w:t>
      </w:r>
      <w:r>
        <w:rPr>
          <w:spacing w:val="-12"/>
        </w:rPr>
        <w:t> </w:t>
      </w:r>
      <w:r>
        <w:rPr/>
        <w:t>que</w:t>
      </w:r>
      <w:r>
        <w:rPr>
          <w:spacing w:val="-11"/>
        </w:rPr>
        <w:t> </w:t>
      </w:r>
      <w:r>
        <w:rPr/>
        <w:t>en</w:t>
      </w:r>
      <w:r>
        <w:rPr>
          <w:spacing w:val="-11"/>
        </w:rPr>
        <w:t> </w:t>
      </w:r>
      <w:r>
        <w:rPr/>
        <w:t>estos</w:t>
      </w:r>
      <w:r>
        <w:rPr>
          <w:spacing w:val="-12"/>
        </w:rPr>
        <w:t> </w:t>
      </w:r>
      <w:r>
        <w:rPr/>
        <w:t>momentos</w:t>
      </w:r>
      <w:r>
        <w:rPr>
          <w:spacing w:val="-13"/>
        </w:rPr>
        <w:t> </w:t>
      </w:r>
      <w:r>
        <w:rPr/>
        <w:t>se</w:t>
      </w:r>
      <w:r>
        <w:rPr>
          <w:spacing w:val="-11"/>
        </w:rPr>
        <w:t> </w:t>
      </w:r>
      <w:r>
        <w:rPr/>
        <w:t>encuentra</w:t>
      </w:r>
      <w:r>
        <w:rPr>
          <w:spacing w:val="-11"/>
        </w:rPr>
        <w:t> </w:t>
      </w:r>
      <w:r>
        <w:rPr/>
        <w:t>en</w:t>
      </w:r>
      <w:r>
        <w:rPr>
          <w:spacing w:val="-11"/>
        </w:rPr>
        <w:t> </w:t>
      </w:r>
      <w:r>
        <w:rPr/>
        <w:t>prórroga</w:t>
      </w:r>
      <w:r>
        <w:rPr>
          <w:spacing w:val="-12"/>
        </w:rPr>
        <w:t> </w:t>
      </w:r>
      <w:r>
        <w:rPr/>
        <w:t>forzosa</w:t>
      </w:r>
      <w:r>
        <w:rPr>
          <w:spacing w:val="-11"/>
        </w:rPr>
        <w:t> </w:t>
      </w:r>
      <w:r>
        <w:rPr/>
        <w:t>de</w:t>
      </w:r>
      <w:r>
        <w:rPr>
          <w:spacing w:val="-11"/>
        </w:rPr>
        <w:t> </w:t>
      </w:r>
      <w:r>
        <w:rPr/>
        <w:t>hasta</w:t>
      </w:r>
      <w:r>
        <w:rPr>
          <w:spacing w:val="-11"/>
        </w:rPr>
        <w:t> </w:t>
      </w:r>
      <w:r>
        <w:rPr/>
        <w:t>9</w:t>
      </w:r>
      <w:r>
        <w:rPr>
          <w:spacing w:val="-12"/>
        </w:rPr>
        <w:t> </w:t>
      </w:r>
      <w:r>
        <w:rPr/>
        <w:t>meses,</w:t>
      </w:r>
      <w:r>
        <w:rPr>
          <w:spacing w:val="-11"/>
        </w:rPr>
        <w:t> </w:t>
      </w:r>
      <w:r>
        <w:rPr/>
        <w:t>al</w:t>
      </w:r>
      <w:r>
        <w:rPr>
          <w:spacing w:val="-10"/>
        </w:rPr>
        <w:t> </w:t>
      </w:r>
      <w:r>
        <w:rPr/>
        <w:t>quedar</w:t>
      </w:r>
      <w:r>
        <w:rPr>
          <w:spacing w:val="-14"/>
        </w:rPr>
        <w:t> </w:t>
      </w:r>
      <w:r>
        <w:rPr/>
        <w:t>desierto en</w:t>
      </w:r>
      <w:r>
        <w:rPr>
          <w:spacing w:val="-5"/>
        </w:rPr>
        <w:t> </w:t>
      </w:r>
      <w:r>
        <w:rPr/>
        <w:t>varias</w:t>
      </w:r>
      <w:r>
        <w:rPr>
          <w:spacing w:val="-6"/>
        </w:rPr>
        <w:t> </w:t>
      </w:r>
      <w:r>
        <w:rPr/>
        <w:t>ocasiones,</w:t>
      </w:r>
      <w:r>
        <w:rPr>
          <w:spacing w:val="-6"/>
        </w:rPr>
        <w:t> </w:t>
      </w:r>
      <w:r>
        <w:rPr/>
        <w:t>por</w:t>
      </w:r>
      <w:r>
        <w:rPr>
          <w:spacing w:val="-6"/>
        </w:rPr>
        <w:t> </w:t>
      </w:r>
      <w:r>
        <w:rPr/>
        <w:t>encontrarse</w:t>
      </w:r>
      <w:r>
        <w:rPr>
          <w:spacing w:val="-4"/>
        </w:rPr>
        <w:t> </w:t>
      </w:r>
      <w:r>
        <w:rPr/>
        <w:t>las</w:t>
      </w:r>
      <w:r>
        <w:rPr>
          <w:spacing w:val="-4"/>
        </w:rPr>
        <w:t> </w:t>
      </w:r>
      <w:r>
        <w:rPr/>
        <w:t>empresas</w:t>
      </w:r>
      <w:r>
        <w:rPr>
          <w:spacing w:val="-4"/>
        </w:rPr>
        <w:t> </w:t>
      </w:r>
      <w:r>
        <w:rPr/>
        <w:t>presentadas,</w:t>
      </w:r>
      <w:r>
        <w:rPr>
          <w:spacing w:val="-4"/>
        </w:rPr>
        <w:t> </w:t>
      </w:r>
      <w:r>
        <w:rPr/>
        <w:t>en</w:t>
      </w:r>
      <w:r>
        <w:rPr>
          <w:spacing w:val="-5"/>
        </w:rPr>
        <w:t> </w:t>
      </w:r>
      <w:r>
        <w:rPr/>
        <w:t>prohibición</w:t>
      </w:r>
      <w:r>
        <w:rPr>
          <w:spacing w:val="-7"/>
        </w:rPr>
        <w:t> </w:t>
      </w:r>
      <w:r>
        <w:rPr/>
        <w:t>de</w:t>
      </w:r>
      <w:r>
        <w:rPr>
          <w:spacing w:val="-6"/>
        </w:rPr>
        <w:t> </w:t>
      </w:r>
      <w:r>
        <w:rPr/>
        <w:t>contratar,</w:t>
      </w:r>
      <w:r>
        <w:rPr>
          <w:spacing w:val="-5"/>
        </w:rPr>
        <w:t> </w:t>
      </w:r>
      <w:r>
        <w:rPr/>
        <w:t>al</w:t>
      </w:r>
      <w:r>
        <w:rPr>
          <w:spacing w:val="-3"/>
        </w:rPr>
        <w:t> </w:t>
      </w:r>
      <w:r>
        <w:rPr/>
        <w:t>contar</w:t>
      </w:r>
      <w:r>
        <w:rPr>
          <w:spacing w:val="-6"/>
        </w:rPr>
        <w:t> </w:t>
      </w:r>
      <w:r>
        <w:rPr/>
        <w:t>con</w:t>
      </w:r>
      <w:r>
        <w:rPr>
          <w:spacing w:val="-7"/>
        </w:rPr>
        <w:t> </w:t>
      </w:r>
      <w:r>
        <w:rPr/>
        <w:t>plantillas</w:t>
      </w:r>
      <w:r>
        <w:rPr>
          <w:spacing w:val="-3"/>
        </w:rPr>
        <w:t> </w:t>
      </w:r>
      <w:r>
        <w:rPr/>
        <w:t>de</w:t>
      </w:r>
      <w:r>
        <w:rPr>
          <w:spacing w:val="-5"/>
        </w:rPr>
        <w:t> </w:t>
      </w:r>
      <w:r>
        <w:rPr>
          <w:spacing w:val="-3"/>
        </w:rPr>
        <w:t>50 </w:t>
      </w:r>
      <w:r>
        <w:rPr/>
        <w:t>o</w:t>
      </w:r>
      <w:r>
        <w:rPr>
          <w:spacing w:val="-6"/>
        </w:rPr>
        <w:t> </w:t>
      </w:r>
      <w:r>
        <w:rPr/>
        <w:t>más</w:t>
      </w:r>
      <w:r>
        <w:rPr>
          <w:spacing w:val="-4"/>
        </w:rPr>
        <w:t> </w:t>
      </w:r>
      <w:r>
        <w:rPr/>
        <w:t>trabajadoras</w:t>
      </w:r>
      <w:r>
        <w:rPr>
          <w:spacing w:val="-5"/>
        </w:rPr>
        <w:t> </w:t>
      </w:r>
      <w:r>
        <w:rPr/>
        <w:t>y</w:t>
      </w:r>
      <w:r>
        <w:rPr>
          <w:spacing w:val="-4"/>
        </w:rPr>
        <w:t> </w:t>
      </w:r>
      <w:r>
        <w:rPr/>
        <w:t>no</w:t>
      </w:r>
      <w:r>
        <w:rPr>
          <w:spacing w:val="-4"/>
        </w:rPr>
        <w:t> </w:t>
      </w:r>
      <w:r>
        <w:rPr/>
        <w:t>disponer</w:t>
      </w:r>
      <w:r>
        <w:rPr>
          <w:spacing w:val="-6"/>
        </w:rPr>
        <w:t> </w:t>
      </w:r>
      <w:r>
        <w:rPr/>
        <w:t>del</w:t>
      </w:r>
      <w:r>
        <w:rPr>
          <w:spacing w:val="-5"/>
        </w:rPr>
        <w:t> </w:t>
      </w:r>
      <w:r>
        <w:rPr/>
        <w:t>Plan</w:t>
      </w:r>
      <w:r>
        <w:rPr>
          <w:spacing w:val="-5"/>
        </w:rPr>
        <w:t> </w:t>
      </w:r>
      <w:r>
        <w:rPr/>
        <w:t>de</w:t>
      </w:r>
      <w:r>
        <w:rPr>
          <w:spacing w:val="-3"/>
        </w:rPr>
        <w:t> </w:t>
      </w:r>
      <w:r>
        <w:rPr/>
        <w:t>Igualdad</w:t>
      </w:r>
      <w:r>
        <w:rPr>
          <w:spacing w:val="-6"/>
        </w:rPr>
        <w:t> </w:t>
      </w:r>
      <w:r>
        <w:rPr/>
        <w:t>vigente</w:t>
      </w:r>
      <w:r>
        <w:rPr>
          <w:spacing w:val="-5"/>
        </w:rPr>
        <w:t> </w:t>
      </w:r>
      <w:r>
        <w:rPr/>
        <w:t>debidamente</w:t>
      </w:r>
      <w:r>
        <w:rPr>
          <w:spacing w:val="-6"/>
        </w:rPr>
        <w:t> </w:t>
      </w:r>
      <w:r>
        <w:rPr/>
        <w:t>inscrito</w:t>
      </w:r>
      <w:r>
        <w:rPr>
          <w:spacing w:val="-5"/>
        </w:rPr>
        <w:t> </w:t>
      </w:r>
      <w:r>
        <w:rPr/>
        <w:t>en</w:t>
      </w:r>
      <w:r>
        <w:rPr>
          <w:spacing w:val="-6"/>
        </w:rPr>
        <w:t> </w:t>
      </w:r>
      <w:r>
        <w:rPr/>
        <w:t>el</w:t>
      </w:r>
      <w:r>
        <w:rPr>
          <w:spacing w:val="-4"/>
        </w:rPr>
        <w:t> </w:t>
      </w:r>
      <w:r>
        <w:rPr/>
        <w:t>registro</w:t>
      </w:r>
      <w:r>
        <w:rPr>
          <w:spacing w:val="-6"/>
        </w:rPr>
        <w:t> </w:t>
      </w:r>
      <w:r>
        <w:rPr/>
        <w:t>laboral</w:t>
      </w:r>
      <w:r>
        <w:rPr>
          <w:spacing w:val="-4"/>
        </w:rPr>
        <w:t> </w:t>
      </w:r>
      <w:r>
        <w:rPr/>
        <w:t>correspondiente según la LO</w:t>
      </w:r>
      <w:r>
        <w:rPr>
          <w:spacing w:val="-3"/>
        </w:rPr>
        <w:t> </w:t>
      </w:r>
      <w:r>
        <w:rPr/>
        <w:t>2/2024.</w:t>
      </w:r>
    </w:p>
    <w:p>
      <w:pPr>
        <w:pStyle w:val="BodyText"/>
      </w:pPr>
    </w:p>
    <w:p>
      <w:pPr>
        <w:pStyle w:val="BodyText"/>
        <w:ind w:left="113" w:right="307"/>
        <w:jc w:val="both"/>
      </w:pPr>
      <w:r>
        <w:rPr/>
        <w:t>Además, también por este procedimiento abierto, se está revisando el presupuesto base de licitación, de los Servicios Complementarios y Auxiliares del Centro Privado Concertado de Educación Especial de La Casita (Gran Canaria), al quedar desierta la licitación de este servicio el pasado 4 de noviembre de 2025.</w:t>
      </w:r>
    </w:p>
    <w:p>
      <w:pPr>
        <w:pStyle w:val="BodyText"/>
        <w:rPr>
          <w:sz w:val="20"/>
        </w:rPr>
      </w:pPr>
    </w:p>
    <w:p>
      <w:pPr>
        <w:pStyle w:val="BodyText"/>
        <w:ind w:left="112"/>
        <w:jc w:val="both"/>
      </w:pPr>
      <w:r>
        <w:rPr/>
        <w:t>Se detallan los mismos en el siguiente cuadro:</w:t>
      </w:r>
    </w:p>
    <w:tbl>
      <w:tblPr>
        <w:tblW w:w="0" w:type="auto"/>
        <w:jc w:val="left"/>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70"/>
        <w:gridCol w:w="2248"/>
        <w:gridCol w:w="1559"/>
        <w:gridCol w:w="1199"/>
        <w:gridCol w:w="1429"/>
        <w:gridCol w:w="1964"/>
      </w:tblGrid>
      <w:tr>
        <w:trPr>
          <w:trHeight w:val="253" w:hRule="atLeast"/>
        </w:trPr>
        <w:tc>
          <w:tcPr>
            <w:tcW w:w="1970" w:type="dxa"/>
          </w:tcPr>
          <w:p>
            <w:pPr>
              <w:pStyle w:val="TableParagraph"/>
              <w:spacing w:before="62"/>
              <w:ind w:left="126" w:right="112"/>
              <w:rPr>
                <w:b/>
                <w:sz w:val="11"/>
              </w:rPr>
            </w:pPr>
            <w:r>
              <w:rPr>
                <w:b/>
                <w:sz w:val="11"/>
              </w:rPr>
              <w:t>CATEGORÍA DE LA LICITACIÓN</w:t>
            </w:r>
          </w:p>
        </w:tc>
        <w:tc>
          <w:tcPr>
            <w:tcW w:w="2248" w:type="dxa"/>
          </w:tcPr>
          <w:p>
            <w:pPr>
              <w:pStyle w:val="TableParagraph"/>
              <w:spacing w:before="62"/>
              <w:ind w:left="204" w:right="191"/>
              <w:rPr>
                <w:b/>
                <w:sz w:val="11"/>
              </w:rPr>
            </w:pPr>
            <w:r>
              <w:rPr>
                <w:b/>
                <w:sz w:val="11"/>
              </w:rPr>
              <w:t>PROCEDIMIENTO ADJUDICACIÓN</w:t>
            </w:r>
          </w:p>
        </w:tc>
        <w:tc>
          <w:tcPr>
            <w:tcW w:w="1559" w:type="dxa"/>
          </w:tcPr>
          <w:p>
            <w:pPr>
              <w:pStyle w:val="TableParagraph"/>
              <w:spacing w:before="62"/>
              <w:ind w:left="166" w:right="151"/>
              <w:rPr>
                <w:b/>
                <w:sz w:val="11"/>
              </w:rPr>
            </w:pPr>
            <w:r>
              <w:rPr>
                <w:b/>
                <w:sz w:val="11"/>
              </w:rPr>
              <w:t>SITUACIÓN</w:t>
            </w:r>
          </w:p>
        </w:tc>
        <w:tc>
          <w:tcPr>
            <w:tcW w:w="1199" w:type="dxa"/>
          </w:tcPr>
          <w:p>
            <w:pPr>
              <w:pStyle w:val="TableParagraph"/>
              <w:spacing w:line="128" w:lineRule="exact"/>
              <w:ind w:left="290" w:right="217" w:hanging="41"/>
              <w:jc w:val="left"/>
              <w:rPr>
                <w:b/>
                <w:sz w:val="11"/>
              </w:rPr>
            </w:pPr>
            <w:r>
              <w:rPr>
                <w:b/>
                <w:sz w:val="11"/>
              </w:rPr>
              <w:t>OBJETO DEL CONTRATO</w:t>
            </w:r>
          </w:p>
        </w:tc>
        <w:tc>
          <w:tcPr>
            <w:tcW w:w="1429" w:type="dxa"/>
          </w:tcPr>
          <w:p>
            <w:pPr>
              <w:pStyle w:val="TableParagraph"/>
              <w:spacing w:before="62"/>
              <w:ind w:left="108" w:right="91"/>
              <w:rPr>
                <w:b/>
                <w:sz w:val="11"/>
              </w:rPr>
            </w:pPr>
            <w:r>
              <w:rPr>
                <w:b/>
                <w:sz w:val="11"/>
              </w:rPr>
              <w:t>CENTRO/ PROGRAMA</w:t>
            </w:r>
          </w:p>
        </w:tc>
        <w:tc>
          <w:tcPr>
            <w:tcW w:w="1964" w:type="dxa"/>
          </w:tcPr>
          <w:p>
            <w:pPr>
              <w:pStyle w:val="TableParagraph"/>
              <w:spacing w:line="128" w:lineRule="exact"/>
              <w:ind w:left="556" w:right="276" w:hanging="243"/>
              <w:jc w:val="left"/>
              <w:rPr>
                <w:b/>
                <w:sz w:val="11"/>
              </w:rPr>
            </w:pPr>
            <w:r>
              <w:rPr>
                <w:b/>
                <w:sz w:val="11"/>
              </w:rPr>
              <w:t>IMPORTE DE LICITACIÓN (IGIC INCLUIDO)</w:t>
            </w:r>
          </w:p>
        </w:tc>
      </w:tr>
      <w:tr>
        <w:trPr>
          <w:trHeight w:val="249" w:hRule="atLeast"/>
        </w:trPr>
        <w:tc>
          <w:tcPr>
            <w:tcW w:w="1970" w:type="dxa"/>
          </w:tcPr>
          <w:p>
            <w:pPr>
              <w:pStyle w:val="TableParagraph"/>
              <w:spacing w:before="60"/>
              <w:ind w:left="126" w:right="112"/>
              <w:rPr>
                <w:sz w:val="11"/>
              </w:rPr>
            </w:pPr>
            <w:r>
              <w:rPr>
                <w:sz w:val="11"/>
              </w:rPr>
              <w:t>Servicios</w:t>
            </w:r>
          </w:p>
        </w:tc>
        <w:tc>
          <w:tcPr>
            <w:tcW w:w="2248" w:type="dxa"/>
          </w:tcPr>
          <w:p>
            <w:pPr>
              <w:pStyle w:val="TableParagraph"/>
              <w:spacing w:before="60"/>
              <w:ind w:left="203" w:right="191"/>
              <w:rPr>
                <w:sz w:val="11"/>
              </w:rPr>
            </w:pPr>
            <w:r>
              <w:rPr>
                <w:sz w:val="11"/>
              </w:rPr>
              <w:t>Abierto</w:t>
            </w:r>
          </w:p>
        </w:tc>
        <w:tc>
          <w:tcPr>
            <w:tcW w:w="1559" w:type="dxa"/>
          </w:tcPr>
          <w:p>
            <w:pPr>
              <w:pStyle w:val="TableParagraph"/>
              <w:spacing w:line="122" w:lineRule="exact"/>
              <w:ind w:left="166" w:right="155"/>
              <w:rPr>
                <w:sz w:val="11"/>
              </w:rPr>
            </w:pPr>
            <w:r>
              <w:rPr>
                <w:sz w:val="11"/>
              </w:rPr>
              <w:t>En Plazo para presentar</w:t>
            </w:r>
          </w:p>
          <w:p>
            <w:pPr>
              <w:pStyle w:val="TableParagraph"/>
              <w:spacing w:line="107" w:lineRule="exact"/>
              <w:ind w:left="166" w:right="155"/>
              <w:rPr>
                <w:sz w:val="11"/>
              </w:rPr>
            </w:pPr>
            <w:r>
              <w:rPr>
                <w:sz w:val="11"/>
              </w:rPr>
              <w:t>oferta</w:t>
            </w:r>
          </w:p>
        </w:tc>
        <w:tc>
          <w:tcPr>
            <w:tcW w:w="1199" w:type="dxa"/>
          </w:tcPr>
          <w:p>
            <w:pPr>
              <w:pStyle w:val="TableParagraph"/>
              <w:spacing w:before="60"/>
              <w:ind w:left="254"/>
              <w:jc w:val="left"/>
              <w:rPr>
                <w:sz w:val="11"/>
              </w:rPr>
            </w:pPr>
            <w:r>
              <w:rPr>
                <w:sz w:val="11"/>
              </w:rPr>
              <w:t>Limpieza G.C.</w:t>
            </w:r>
          </w:p>
        </w:tc>
        <w:tc>
          <w:tcPr>
            <w:tcW w:w="1429" w:type="dxa"/>
          </w:tcPr>
          <w:p>
            <w:pPr>
              <w:pStyle w:val="TableParagraph"/>
              <w:spacing w:line="122" w:lineRule="exact"/>
              <w:ind w:left="108" w:right="88"/>
              <w:rPr>
                <w:sz w:val="11"/>
              </w:rPr>
            </w:pPr>
            <w:r>
              <w:rPr>
                <w:sz w:val="11"/>
              </w:rPr>
              <w:t>Marzagan y oficinas</w:t>
            </w:r>
          </w:p>
          <w:p>
            <w:pPr>
              <w:pStyle w:val="TableParagraph"/>
              <w:spacing w:line="107" w:lineRule="exact"/>
              <w:ind w:left="108" w:right="90"/>
              <w:rPr>
                <w:sz w:val="11"/>
              </w:rPr>
            </w:pPr>
            <w:r>
              <w:rPr>
                <w:sz w:val="11"/>
              </w:rPr>
              <w:t>FuCAS</w:t>
            </w:r>
          </w:p>
        </w:tc>
        <w:tc>
          <w:tcPr>
            <w:tcW w:w="1964" w:type="dxa"/>
          </w:tcPr>
          <w:p>
            <w:pPr>
              <w:pStyle w:val="TableParagraph"/>
              <w:spacing w:before="60"/>
              <w:ind w:left="646" w:right="627"/>
              <w:rPr>
                <w:sz w:val="11"/>
              </w:rPr>
            </w:pPr>
            <w:r>
              <w:rPr>
                <w:sz w:val="11"/>
              </w:rPr>
              <w:t>95.715,46 €</w:t>
            </w:r>
          </w:p>
        </w:tc>
      </w:tr>
      <w:tr>
        <w:trPr>
          <w:trHeight w:val="253" w:hRule="atLeast"/>
        </w:trPr>
        <w:tc>
          <w:tcPr>
            <w:tcW w:w="1970" w:type="dxa"/>
          </w:tcPr>
          <w:p>
            <w:pPr>
              <w:pStyle w:val="TableParagraph"/>
              <w:spacing w:before="62"/>
              <w:ind w:left="126" w:right="112"/>
              <w:rPr>
                <w:sz w:val="11"/>
              </w:rPr>
            </w:pPr>
            <w:r>
              <w:rPr>
                <w:sz w:val="11"/>
              </w:rPr>
              <w:t>Servicios</w:t>
            </w:r>
          </w:p>
        </w:tc>
        <w:tc>
          <w:tcPr>
            <w:tcW w:w="2248" w:type="dxa"/>
          </w:tcPr>
          <w:p>
            <w:pPr>
              <w:pStyle w:val="TableParagraph"/>
              <w:spacing w:before="62"/>
              <w:ind w:left="203" w:right="191"/>
              <w:rPr>
                <w:sz w:val="11"/>
              </w:rPr>
            </w:pPr>
            <w:r>
              <w:rPr>
                <w:sz w:val="11"/>
              </w:rPr>
              <w:t>Abierto</w:t>
            </w:r>
          </w:p>
        </w:tc>
        <w:tc>
          <w:tcPr>
            <w:tcW w:w="1559" w:type="dxa"/>
          </w:tcPr>
          <w:p>
            <w:pPr>
              <w:pStyle w:val="TableParagraph"/>
              <w:spacing w:before="62"/>
              <w:ind w:left="166" w:right="155"/>
              <w:rPr>
                <w:sz w:val="11"/>
              </w:rPr>
            </w:pPr>
            <w:r>
              <w:rPr>
                <w:sz w:val="11"/>
              </w:rPr>
              <w:t>Revisión del PBL</w:t>
            </w:r>
          </w:p>
        </w:tc>
        <w:tc>
          <w:tcPr>
            <w:tcW w:w="1199" w:type="dxa"/>
          </w:tcPr>
          <w:p>
            <w:pPr>
              <w:pStyle w:val="TableParagraph"/>
              <w:spacing w:line="128" w:lineRule="exact"/>
              <w:ind w:left="369" w:right="138" w:hanging="200"/>
              <w:jc w:val="left"/>
              <w:rPr>
                <w:sz w:val="11"/>
              </w:rPr>
            </w:pPr>
            <w:r>
              <w:rPr>
                <w:sz w:val="11"/>
              </w:rPr>
              <w:t>Complementarios auxiliares</w:t>
            </w:r>
          </w:p>
        </w:tc>
        <w:tc>
          <w:tcPr>
            <w:tcW w:w="1429" w:type="dxa"/>
          </w:tcPr>
          <w:p>
            <w:pPr>
              <w:pStyle w:val="TableParagraph"/>
              <w:spacing w:before="62"/>
              <w:ind w:left="108" w:right="90"/>
              <w:rPr>
                <w:sz w:val="11"/>
              </w:rPr>
            </w:pPr>
            <w:r>
              <w:rPr>
                <w:sz w:val="11"/>
              </w:rPr>
              <w:t>La Casita</w:t>
            </w:r>
          </w:p>
        </w:tc>
        <w:tc>
          <w:tcPr>
            <w:tcW w:w="1964" w:type="dxa"/>
          </w:tcPr>
          <w:p>
            <w:pPr>
              <w:pStyle w:val="TableParagraph"/>
              <w:spacing w:before="62"/>
              <w:ind w:left="585" w:right="656"/>
              <w:rPr>
                <w:sz w:val="11"/>
              </w:rPr>
            </w:pPr>
            <w:r>
              <w:rPr>
                <w:sz w:val="11"/>
              </w:rPr>
              <w:t>En estudio.</w:t>
            </w:r>
          </w:p>
        </w:tc>
      </w:tr>
    </w:tbl>
    <w:p>
      <w:pPr>
        <w:pStyle w:val="BodyText"/>
        <w:spacing w:before="10"/>
        <w:rPr>
          <w:sz w:val="28"/>
        </w:rPr>
      </w:pPr>
    </w:p>
    <w:p>
      <w:pPr>
        <w:pStyle w:val="Heading1"/>
        <w:spacing w:before="1"/>
      </w:pPr>
      <w:r>
        <w:rPr>
          <w:color w:val="4471C4"/>
          <w:w w:val="100"/>
        </w:rPr>
        <w:t>2</w:t>
      </w:r>
    </w:p>
    <w:p>
      <w:pPr>
        <w:spacing w:after="0"/>
        <w:sectPr>
          <w:pgSz w:w="11910" w:h="16840"/>
          <w:pgMar w:top="1580" w:bottom="280" w:left="1020" w:right="260"/>
        </w:sectPr>
      </w:pPr>
    </w:p>
    <w:p>
      <w:pPr>
        <w:pStyle w:val="BodyText"/>
        <w:rPr>
          <w:rFonts w:ascii="Calibri"/>
          <w:sz w:val="20"/>
        </w:rPr>
      </w:pPr>
      <w:r>
        <w:rPr/>
        <w:drawing>
          <wp:anchor distT="0" distB="0" distL="0" distR="0" allowOverlap="1" layoutInCell="1" locked="0" behindDoc="1" simplePos="0" relativeHeight="251038720">
            <wp:simplePos x="0" y="0"/>
            <wp:positionH relativeFrom="page">
              <wp:posOffset>0</wp:posOffset>
            </wp:positionH>
            <wp:positionV relativeFrom="page">
              <wp:posOffset>635</wp:posOffset>
            </wp:positionV>
            <wp:extent cx="7558405" cy="10691748"/>
            <wp:effectExtent l="0" t="0" r="0" b="0"/>
            <wp:wrapNone/>
            <wp:docPr id="5" name="image1.png"/>
            <wp:cNvGraphicFramePr>
              <a:graphicFrameLocks noChangeAspect="1"/>
            </wp:cNvGraphicFramePr>
            <a:graphic>
              <a:graphicData uri="http://schemas.openxmlformats.org/drawingml/2006/picture">
                <pic:pic>
                  <pic:nvPicPr>
                    <pic:cNvPr id="6" name="image1.png"/>
                    <pic:cNvPicPr/>
                  </pic:nvPicPr>
                  <pic:blipFill>
                    <a:blip r:embed="rId5" cstate="print"/>
                    <a:stretch>
                      <a:fillRect/>
                    </a:stretch>
                  </pic:blipFill>
                  <pic:spPr>
                    <a:xfrm>
                      <a:off x="0" y="0"/>
                      <a:ext cx="7558405" cy="10691748"/>
                    </a:xfrm>
                    <a:prstGeom prst="rect">
                      <a:avLst/>
                    </a:prstGeom>
                  </pic:spPr>
                </pic:pic>
              </a:graphicData>
            </a:graphic>
          </wp:anchor>
        </w:drawing>
      </w:r>
    </w:p>
    <w:p>
      <w:pPr>
        <w:pStyle w:val="BodyText"/>
        <w:rPr>
          <w:rFonts w:ascii="Calibri"/>
          <w:sz w:val="20"/>
        </w:rPr>
      </w:pPr>
    </w:p>
    <w:p>
      <w:pPr>
        <w:pStyle w:val="BodyText"/>
        <w:rPr>
          <w:rFonts w:ascii="Calibri"/>
          <w:sz w:val="26"/>
        </w:rPr>
      </w:pPr>
    </w:p>
    <w:p>
      <w:pPr>
        <w:pStyle w:val="BodyText"/>
        <w:spacing w:before="93"/>
        <w:ind w:left="112" w:right="305"/>
        <w:jc w:val="both"/>
      </w:pPr>
      <w:r>
        <w:rPr/>
        <w:t>Por</w:t>
      </w:r>
      <w:r>
        <w:rPr>
          <w:spacing w:val="-15"/>
        </w:rPr>
        <w:t> </w:t>
      </w:r>
      <w:r>
        <w:rPr/>
        <w:t>procedimiento</w:t>
      </w:r>
      <w:r>
        <w:rPr>
          <w:spacing w:val="-13"/>
        </w:rPr>
        <w:t> </w:t>
      </w:r>
      <w:r>
        <w:rPr>
          <w:b/>
          <w:i/>
        </w:rPr>
        <w:t>abierto</w:t>
      </w:r>
      <w:r>
        <w:rPr>
          <w:b/>
          <w:i/>
          <w:spacing w:val="-14"/>
        </w:rPr>
        <w:t> </w:t>
      </w:r>
      <w:r>
        <w:rPr>
          <w:b/>
          <w:i/>
        </w:rPr>
        <w:t>simplificado</w:t>
      </w:r>
      <w:r>
        <w:rPr>
          <w:b/>
          <w:i/>
          <w:spacing w:val="-14"/>
        </w:rPr>
        <w:t> </w:t>
      </w:r>
      <w:r>
        <w:rPr>
          <w:b/>
          <w:i/>
        </w:rPr>
        <w:t>sumario</w:t>
      </w:r>
      <w:r>
        <w:rPr>
          <w:b/>
          <w:i/>
          <w:spacing w:val="-12"/>
        </w:rPr>
        <w:t> </w:t>
      </w:r>
      <w:r>
        <w:rPr>
          <w:b/>
          <w:i/>
        </w:rPr>
        <w:t>o</w:t>
      </w:r>
      <w:r>
        <w:rPr>
          <w:b/>
          <w:i/>
          <w:spacing w:val="-14"/>
        </w:rPr>
        <w:t> </w:t>
      </w:r>
      <w:r>
        <w:rPr>
          <w:b/>
          <w:i/>
        </w:rPr>
        <w:t>por</w:t>
      </w:r>
      <w:r>
        <w:rPr>
          <w:b/>
          <w:i/>
          <w:spacing w:val="-13"/>
        </w:rPr>
        <w:t> </w:t>
      </w:r>
      <w:r>
        <w:rPr>
          <w:b/>
          <w:i/>
        </w:rPr>
        <w:t>cuantía</w:t>
      </w:r>
      <w:r>
        <w:rPr/>
        <w:t>,</w:t>
      </w:r>
      <w:r>
        <w:rPr>
          <w:spacing w:val="-13"/>
        </w:rPr>
        <w:t> </w:t>
      </w:r>
      <w:r>
        <w:rPr/>
        <w:t>para</w:t>
      </w:r>
      <w:r>
        <w:rPr>
          <w:spacing w:val="-13"/>
        </w:rPr>
        <w:t> </w:t>
      </w:r>
      <w:r>
        <w:rPr/>
        <w:t>servicios</w:t>
      </w:r>
      <w:r>
        <w:rPr>
          <w:spacing w:val="-12"/>
        </w:rPr>
        <w:t> </w:t>
      </w:r>
      <w:r>
        <w:rPr/>
        <w:t>cuyo</w:t>
      </w:r>
      <w:r>
        <w:rPr>
          <w:spacing w:val="-13"/>
        </w:rPr>
        <w:t> </w:t>
      </w:r>
      <w:r>
        <w:rPr/>
        <w:t>valor</w:t>
      </w:r>
      <w:r>
        <w:rPr>
          <w:spacing w:val="-14"/>
        </w:rPr>
        <w:t> </w:t>
      </w:r>
      <w:r>
        <w:rPr/>
        <w:t>estimado</w:t>
      </w:r>
      <w:r>
        <w:rPr>
          <w:spacing w:val="-13"/>
        </w:rPr>
        <w:t> </w:t>
      </w:r>
      <w:r>
        <w:rPr/>
        <w:t>es</w:t>
      </w:r>
      <w:r>
        <w:rPr>
          <w:spacing w:val="-13"/>
        </w:rPr>
        <w:t> </w:t>
      </w:r>
      <w:r>
        <w:rPr/>
        <w:t>inferior</w:t>
      </w:r>
      <w:r>
        <w:rPr>
          <w:spacing w:val="-14"/>
        </w:rPr>
        <w:t> </w:t>
      </w:r>
      <w:r>
        <w:rPr/>
        <w:t>a</w:t>
      </w:r>
      <w:r>
        <w:rPr>
          <w:spacing w:val="-13"/>
        </w:rPr>
        <w:t> </w:t>
      </w:r>
      <w:r>
        <w:rPr/>
        <w:t>60.000,00 euros (art.159.6 de la LCSP) para la contratación de suministros y servicios (límite ampliado de 35.000,00 a 60.000,00 euros según disposición adicional 40ª de la Ley de Presupuestos Generales del Estado para el año 2021(BOE del 31/12/2020), que modifica el artículo 159 de LCSP), después del primer trimestre de 2025, se </w:t>
      </w:r>
      <w:r>
        <w:rPr>
          <w:u w:val="single"/>
        </w:rPr>
        <w:t>formalizaron</w:t>
      </w:r>
      <w:r>
        <w:rPr/>
        <w:t> los siguientes contratos:</w:t>
      </w:r>
    </w:p>
    <w:p>
      <w:pPr>
        <w:pStyle w:val="BodyText"/>
      </w:pPr>
    </w:p>
    <w:p>
      <w:pPr>
        <w:pStyle w:val="BodyText"/>
        <w:ind w:left="112" w:right="306"/>
        <w:jc w:val="both"/>
      </w:pPr>
      <w:r>
        <w:rPr/>
        <w:t>1.- Servicio de Auditoría de Cuentas Anuales para los ejercicios 2025, 2026 y 2027 de la Fundación Tutelar Canaria</w:t>
      </w:r>
      <w:r>
        <w:rPr>
          <w:spacing w:val="-33"/>
        </w:rPr>
        <w:t> </w:t>
      </w:r>
      <w:r>
        <w:rPr/>
        <w:t>Para La Acción Social, M.P., publicado en la plataforma de contratación del sector público el pasado 30 de junio de 2025, para 36 meses con opción a una prórroga de 24 meses, por importe de 18.185,94 € (con Igic), y adjudicada el 29 de julio de 2025 a la licitadora CANAUDIT, S.L. con NIF: B38437869, por importe de 13.578,30 €, y formalizado el 31 de julio del presente</w:t>
      </w:r>
      <w:r>
        <w:rPr>
          <w:spacing w:val="-1"/>
        </w:rPr>
        <w:t> </w:t>
      </w:r>
      <w:r>
        <w:rPr/>
        <w:t>ejercicio.</w:t>
      </w:r>
    </w:p>
    <w:p>
      <w:pPr>
        <w:pStyle w:val="BodyText"/>
        <w:spacing w:before="11"/>
        <w:rPr>
          <w:sz w:val="18"/>
        </w:rPr>
      </w:pPr>
    </w:p>
    <w:p>
      <w:pPr>
        <w:pStyle w:val="BodyText"/>
        <w:ind w:left="112" w:right="303"/>
        <w:jc w:val="both"/>
      </w:pPr>
      <w:r>
        <w:rPr/>
        <w:t>2.- Suministro de Oxigeno Medicinal necesario al Colegio Privado de Educación Especial Concertado de La Casita (Gran Canaria)</w:t>
      </w:r>
      <w:r>
        <w:rPr>
          <w:spacing w:val="-12"/>
        </w:rPr>
        <w:t> </w:t>
      </w:r>
      <w:r>
        <w:rPr/>
        <w:t>de</w:t>
      </w:r>
      <w:r>
        <w:rPr>
          <w:spacing w:val="-10"/>
        </w:rPr>
        <w:t> </w:t>
      </w:r>
      <w:r>
        <w:rPr/>
        <w:t>la</w:t>
      </w:r>
      <w:r>
        <w:rPr>
          <w:spacing w:val="-9"/>
        </w:rPr>
        <w:t> </w:t>
      </w:r>
      <w:r>
        <w:rPr/>
        <w:t>Fundación</w:t>
      </w:r>
      <w:r>
        <w:rPr>
          <w:spacing w:val="-10"/>
        </w:rPr>
        <w:t> </w:t>
      </w:r>
      <w:r>
        <w:rPr/>
        <w:t>Tutelar</w:t>
      </w:r>
      <w:r>
        <w:rPr>
          <w:spacing w:val="-12"/>
        </w:rPr>
        <w:t> </w:t>
      </w:r>
      <w:r>
        <w:rPr/>
        <w:t>Canaria</w:t>
      </w:r>
      <w:r>
        <w:rPr>
          <w:spacing w:val="-10"/>
        </w:rPr>
        <w:t> </w:t>
      </w:r>
      <w:r>
        <w:rPr/>
        <w:t>Para</w:t>
      </w:r>
      <w:r>
        <w:rPr>
          <w:spacing w:val="-7"/>
        </w:rPr>
        <w:t> </w:t>
      </w:r>
      <w:r>
        <w:rPr/>
        <w:t>La</w:t>
      </w:r>
      <w:r>
        <w:rPr>
          <w:spacing w:val="-11"/>
        </w:rPr>
        <w:t> </w:t>
      </w:r>
      <w:r>
        <w:rPr/>
        <w:t>Acción</w:t>
      </w:r>
      <w:r>
        <w:rPr>
          <w:spacing w:val="-10"/>
        </w:rPr>
        <w:t> </w:t>
      </w:r>
      <w:r>
        <w:rPr/>
        <w:t>Social,</w:t>
      </w:r>
      <w:r>
        <w:rPr>
          <w:spacing w:val="-11"/>
        </w:rPr>
        <w:t> </w:t>
      </w:r>
      <w:r>
        <w:rPr/>
        <w:t>MP,</w:t>
      </w:r>
      <w:r>
        <w:rPr>
          <w:spacing w:val="-10"/>
        </w:rPr>
        <w:t> </w:t>
      </w:r>
      <w:r>
        <w:rPr/>
        <w:t>publicado</w:t>
      </w:r>
      <w:r>
        <w:rPr>
          <w:spacing w:val="-10"/>
        </w:rPr>
        <w:t> </w:t>
      </w:r>
      <w:r>
        <w:rPr/>
        <w:t>en</w:t>
      </w:r>
      <w:r>
        <w:rPr>
          <w:spacing w:val="-11"/>
        </w:rPr>
        <w:t> </w:t>
      </w:r>
      <w:r>
        <w:rPr/>
        <w:t>la</w:t>
      </w:r>
      <w:r>
        <w:rPr>
          <w:spacing w:val="-10"/>
        </w:rPr>
        <w:t> </w:t>
      </w:r>
      <w:r>
        <w:rPr/>
        <w:t>plataforma</w:t>
      </w:r>
      <w:r>
        <w:rPr>
          <w:spacing w:val="-11"/>
        </w:rPr>
        <w:t> </w:t>
      </w:r>
      <w:r>
        <w:rPr/>
        <w:t>de</w:t>
      </w:r>
      <w:r>
        <w:rPr>
          <w:spacing w:val="-10"/>
        </w:rPr>
        <w:t> </w:t>
      </w:r>
      <w:r>
        <w:rPr/>
        <w:t>contratación</w:t>
      </w:r>
      <w:r>
        <w:rPr>
          <w:spacing w:val="-11"/>
        </w:rPr>
        <w:t> </w:t>
      </w:r>
      <w:r>
        <w:rPr/>
        <w:t>del</w:t>
      </w:r>
      <w:r>
        <w:rPr>
          <w:spacing w:val="-7"/>
        </w:rPr>
        <w:t> </w:t>
      </w:r>
      <w:r>
        <w:rPr/>
        <w:t>sector público el pasado de 2025, para 60 meses sin opción a prórroga, por importe de 6.392,06 € (con Igic), y adjudicada el 20 de junio a la licitadora SOCIEDAD ESPAÑOLA DE CARBUROS METALICOS S.A. S.A.U. con NIF: A08015646, por importe de 5.619,50 €, y formalizado el 26 de junio del</w:t>
      </w:r>
      <w:r>
        <w:rPr>
          <w:spacing w:val="1"/>
        </w:rPr>
        <w:t> </w:t>
      </w:r>
      <w:r>
        <w:rPr/>
        <w:t>2025.</w:t>
      </w:r>
    </w:p>
    <w:p>
      <w:pPr>
        <w:pStyle w:val="BodyText"/>
      </w:pPr>
    </w:p>
    <w:p>
      <w:pPr>
        <w:pStyle w:val="BodyText"/>
        <w:ind w:left="112" w:right="304"/>
        <w:jc w:val="both"/>
      </w:pPr>
      <w:r>
        <w:rPr/>
        <w:t>3.- Servicio de Vigilante de Seguridad y Escolta para el Encargo de Medidas de Apoyo a Personas Curateladas (Gran Canaria)</w:t>
      </w:r>
      <w:r>
        <w:rPr>
          <w:spacing w:val="-12"/>
        </w:rPr>
        <w:t> </w:t>
      </w:r>
      <w:r>
        <w:rPr/>
        <w:t>de</w:t>
      </w:r>
      <w:r>
        <w:rPr>
          <w:spacing w:val="-10"/>
        </w:rPr>
        <w:t> </w:t>
      </w:r>
      <w:r>
        <w:rPr/>
        <w:t>la</w:t>
      </w:r>
      <w:r>
        <w:rPr>
          <w:spacing w:val="-9"/>
        </w:rPr>
        <w:t> </w:t>
      </w:r>
      <w:r>
        <w:rPr/>
        <w:t>Fundación</w:t>
      </w:r>
      <w:r>
        <w:rPr>
          <w:spacing w:val="-10"/>
        </w:rPr>
        <w:t> </w:t>
      </w:r>
      <w:r>
        <w:rPr/>
        <w:t>Tutelar</w:t>
      </w:r>
      <w:r>
        <w:rPr>
          <w:spacing w:val="-12"/>
        </w:rPr>
        <w:t> </w:t>
      </w:r>
      <w:r>
        <w:rPr/>
        <w:t>Canaria</w:t>
      </w:r>
      <w:r>
        <w:rPr>
          <w:spacing w:val="-10"/>
        </w:rPr>
        <w:t> </w:t>
      </w:r>
      <w:r>
        <w:rPr/>
        <w:t>Para</w:t>
      </w:r>
      <w:r>
        <w:rPr>
          <w:spacing w:val="-7"/>
        </w:rPr>
        <w:t> </w:t>
      </w:r>
      <w:r>
        <w:rPr/>
        <w:t>La</w:t>
      </w:r>
      <w:r>
        <w:rPr>
          <w:spacing w:val="-11"/>
        </w:rPr>
        <w:t> </w:t>
      </w:r>
      <w:r>
        <w:rPr/>
        <w:t>Acción</w:t>
      </w:r>
      <w:r>
        <w:rPr>
          <w:spacing w:val="-10"/>
        </w:rPr>
        <w:t> </w:t>
      </w:r>
      <w:r>
        <w:rPr/>
        <w:t>Social,</w:t>
      </w:r>
      <w:r>
        <w:rPr>
          <w:spacing w:val="-11"/>
        </w:rPr>
        <w:t> </w:t>
      </w:r>
      <w:r>
        <w:rPr/>
        <w:t>MP,</w:t>
      </w:r>
      <w:r>
        <w:rPr>
          <w:spacing w:val="-10"/>
        </w:rPr>
        <w:t> </w:t>
      </w:r>
      <w:r>
        <w:rPr/>
        <w:t>publicado</w:t>
      </w:r>
      <w:r>
        <w:rPr>
          <w:spacing w:val="-10"/>
        </w:rPr>
        <w:t> </w:t>
      </w:r>
      <w:r>
        <w:rPr/>
        <w:t>en</w:t>
      </w:r>
      <w:r>
        <w:rPr>
          <w:spacing w:val="-11"/>
        </w:rPr>
        <w:t> </w:t>
      </w:r>
      <w:r>
        <w:rPr/>
        <w:t>la</w:t>
      </w:r>
      <w:r>
        <w:rPr>
          <w:spacing w:val="-10"/>
        </w:rPr>
        <w:t> </w:t>
      </w:r>
      <w:r>
        <w:rPr/>
        <w:t>plataforma</w:t>
      </w:r>
      <w:r>
        <w:rPr>
          <w:spacing w:val="-11"/>
        </w:rPr>
        <w:t> </w:t>
      </w:r>
      <w:r>
        <w:rPr/>
        <w:t>de</w:t>
      </w:r>
      <w:r>
        <w:rPr>
          <w:spacing w:val="-10"/>
        </w:rPr>
        <w:t> </w:t>
      </w:r>
      <w:r>
        <w:rPr/>
        <w:t>contratación</w:t>
      </w:r>
      <w:r>
        <w:rPr>
          <w:spacing w:val="-11"/>
        </w:rPr>
        <w:t> </w:t>
      </w:r>
      <w:r>
        <w:rPr/>
        <w:t>del</w:t>
      </w:r>
      <w:r>
        <w:rPr>
          <w:spacing w:val="-7"/>
        </w:rPr>
        <w:t> </w:t>
      </w:r>
      <w:r>
        <w:rPr/>
        <w:t>sector público el pasado 20 de octubre de 2025, para 16 meses sin opción a prórroga, por importe de 59.690,05 € (con Igic), y adjudicada el 13 de noviembre de 2025 a la licitadora EULEN SEGURIDAD S.A. con NIF: A28369395, por importe de 51.806,49 € (con Igic) y formalizado el 14 de noviembre de</w:t>
      </w:r>
      <w:r>
        <w:rPr>
          <w:spacing w:val="-1"/>
        </w:rPr>
        <w:t> </w:t>
      </w:r>
      <w:r>
        <w:rPr/>
        <w:t>2025.</w:t>
      </w:r>
    </w:p>
    <w:p>
      <w:pPr>
        <w:pStyle w:val="BodyText"/>
        <w:spacing w:before="2"/>
      </w:pPr>
    </w:p>
    <w:p>
      <w:pPr>
        <w:pStyle w:val="BodyText"/>
        <w:ind w:left="112"/>
        <w:jc w:val="both"/>
      </w:pPr>
      <w:r>
        <w:rPr/>
        <w:t>Se detallan el mismo en el siguiente cuadro:</w:t>
      </w:r>
    </w:p>
    <w:tbl>
      <w:tblPr>
        <w:tblW w:w="0" w:type="auto"/>
        <w:jc w:val="left"/>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30"/>
        <w:gridCol w:w="1867"/>
        <w:gridCol w:w="2085"/>
        <w:gridCol w:w="1528"/>
        <w:gridCol w:w="1842"/>
        <w:gridCol w:w="1636"/>
      </w:tblGrid>
      <w:tr>
        <w:trPr>
          <w:trHeight w:val="412" w:hRule="atLeast"/>
        </w:trPr>
        <w:tc>
          <w:tcPr>
            <w:tcW w:w="1430" w:type="dxa"/>
          </w:tcPr>
          <w:p>
            <w:pPr>
              <w:pStyle w:val="TableParagraph"/>
              <w:spacing w:before="58"/>
              <w:ind w:left="345" w:right="79" w:hanging="231"/>
              <w:jc w:val="left"/>
              <w:rPr>
                <w:b/>
                <w:sz w:val="13"/>
              </w:rPr>
            </w:pPr>
            <w:r>
              <w:rPr>
                <w:b/>
                <w:sz w:val="13"/>
              </w:rPr>
              <w:t>CATEGORÍA DE LA LICITACIÓN</w:t>
            </w:r>
          </w:p>
        </w:tc>
        <w:tc>
          <w:tcPr>
            <w:tcW w:w="1867" w:type="dxa"/>
          </w:tcPr>
          <w:p>
            <w:pPr>
              <w:pStyle w:val="TableParagraph"/>
              <w:spacing w:before="58"/>
              <w:ind w:left="437" w:right="353" w:hanging="51"/>
              <w:jc w:val="left"/>
              <w:rPr>
                <w:b/>
                <w:sz w:val="13"/>
              </w:rPr>
            </w:pPr>
            <w:r>
              <w:rPr>
                <w:b/>
                <w:sz w:val="13"/>
              </w:rPr>
              <w:t>PROCEDIMIENTO ADJUDICACIÓN</w:t>
            </w:r>
          </w:p>
        </w:tc>
        <w:tc>
          <w:tcPr>
            <w:tcW w:w="2085" w:type="dxa"/>
          </w:tcPr>
          <w:p>
            <w:pPr>
              <w:pStyle w:val="TableParagraph"/>
              <w:spacing w:before="5"/>
              <w:jc w:val="left"/>
              <w:rPr>
                <w:sz w:val="11"/>
              </w:rPr>
            </w:pPr>
          </w:p>
          <w:p>
            <w:pPr>
              <w:pStyle w:val="TableParagraph"/>
              <w:ind w:left="316" w:right="308"/>
              <w:rPr>
                <w:b/>
                <w:sz w:val="13"/>
              </w:rPr>
            </w:pPr>
            <w:r>
              <w:rPr>
                <w:b/>
                <w:sz w:val="13"/>
              </w:rPr>
              <w:t>ADJUDICATARIO</w:t>
            </w:r>
          </w:p>
        </w:tc>
        <w:tc>
          <w:tcPr>
            <w:tcW w:w="1528" w:type="dxa"/>
          </w:tcPr>
          <w:p>
            <w:pPr>
              <w:pStyle w:val="TableParagraph"/>
              <w:spacing w:before="58"/>
              <w:ind w:left="397" w:right="318" w:hanging="48"/>
              <w:jc w:val="left"/>
              <w:rPr>
                <w:b/>
                <w:sz w:val="13"/>
              </w:rPr>
            </w:pPr>
            <w:r>
              <w:rPr>
                <w:b/>
                <w:sz w:val="13"/>
              </w:rPr>
              <w:t>OBJETO DEL CONTRATO</w:t>
            </w:r>
          </w:p>
        </w:tc>
        <w:tc>
          <w:tcPr>
            <w:tcW w:w="1842" w:type="dxa"/>
          </w:tcPr>
          <w:p>
            <w:pPr>
              <w:pStyle w:val="TableParagraph"/>
              <w:spacing w:before="58"/>
              <w:ind w:left="539" w:firstLine="93"/>
              <w:jc w:val="left"/>
              <w:rPr>
                <w:b/>
                <w:sz w:val="13"/>
              </w:rPr>
            </w:pPr>
            <w:r>
              <w:rPr>
                <w:b/>
                <w:sz w:val="13"/>
              </w:rPr>
              <w:t>CENTRO/ </w:t>
            </w:r>
            <w:r>
              <w:rPr>
                <w:b/>
                <w:w w:val="95"/>
                <w:sz w:val="13"/>
              </w:rPr>
              <w:t>PROGRAMA</w:t>
            </w:r>
          </w:p>
        </w:tc>
        <w:tc>
          <w:tcPr>
            <w:tcW w:w="1636" w:type="dxa"/>
          </w:tcPr>
          <w:p>
            <w:pPr>
              <w:pStyle w:val="TableParagraph"/>
              <w:ind w:left="377" w:right="359" w:hanging="1"/>
              <w:rPr>
                <w:b/>
                <w:sz w:val="12"/>
              </w:rPr>
            </w:pPr>
            <w:r>
              <w:rPr>
                <w:b/>
                <w:sz w:val="12"/>
              </w:rPr>
              <w:t>IMPORTE FORMALIZADO</w:t>
            </w:r>
          </w:p>
          <w:p>
            <w:pPr>
              <w:pStyle w:val="TableParagraph"/>
              <w:spacing w:line="116" w:lineRule="exact"/>
              <w:ind w:left="349" w:right="297"/>
              <w:rPr>
                <w:b/>
                <w:sz w:val="12"/>
              </w:rPr>
            </w:pPr>
            <w:r>
              <w:rPr>
                <w:b/>
                <w:sz w:val="12"/>
              </w:rPr>
              <w:t>(IGIC INCLUIDO)</w:t>
            </w:r>
          </w:p>
        </w:tc>
      </w:tr>
      <w:tr>
        <w:trPr>
          <w:trHeight w:val="215" w:hRule="atLeast"/>
        </w:trPr>
        <w:tc>
          <w:tcPr>
            <w:tcW w:w="1430" w:type="dxa"/>
          </w:tcPr>
          <w:p>
            <w:pPr>
              <w:pStyle w:val="TableParagraph"/>
              <w:spacing w:line="180" w:lineRule="exact" w:before="15"/>
              <w:ind w:right="375"/>
              <w:jc w:val="right"/>
              <w:rPr>
                <w:sz w:val="16"/>
              </w:rPr>
            </w:pPr>
            <w:r>
              <w:rPr>
                <w:sz w:val="16"/>
              </w:rPr>
              <w:t>Servicios</w:t>
            </w:r>
          </w:p>
        </w:tc>
        <w:tc>
          <w:tcPr>
            <w:tcW w:w="1867" w:type="dxa"/>
          </w:tcPr>
          <w:p>
            <w:pPr>
              <w:pStyle w:val="TableParagraph"/>
              <w:spacing w:before="38"/>
              <w:ind w:left="165" w:right="151"/>
              <w:rPr>
                <w:sz w:val="12"/>
              </w:rPr>
            </w:pPr>
            <w:r>
              <w:rPr>
                <w:sz w:val="12"/>
              </w:rPr>
              <w:t>Abierto simplificado sumario</w:t>
            </w:r>
          </w:p>
        </w:tc>
        <w:tc>
          <w:tcPr>
            <w:tcW w:w="2085" w:type="dxa"/>
          </w:tcPr>
          <w:p>
            <w:pPr>
              <w:pStyle w:val="TableParagraph"/>
              <w:spacing w:before="38"/>
              <w:ind w:left="316" w:right="308"/>
              <w:rPr>
                <w:sz w:val="12"/>
              </w:rPr>
            </w:pPr>
            <w:r>
              <w:rPr>
                <w:sz w:val="12"/>
              </w:rPr>
              <w:t>CANAUDIT, S.L.</w:t>
            </w:r>
          </w:p>
        </w:tc>
        <w:tc>
          <w:tcPr>
            <w:tcW w:w="1528" w:type="dxa"/>
          </w:tcPr>
          <w:p>
            <w:pPr>
              <w:pStyle w:val="TableParagraph"/>
              <w:spacing w:before="34"/>
              <w:ind w:left="171" w:right="161"/>
              <w:rPr>
                <w:sz w:val="13"/>
              </w:rPr>
            </w:pPr>
            <w:r>
              <w:rPr>
                <w:sz w:val="13"/>
              </w:rPr>
              <w:t>Cuentas Anuales</w:t>
            </w:r>
          </w:p>
        </w:tc>
        <w:tc>
          <w:tcPr>
            <w:tcW w:w="1842" w:type="dxa"/>
          </w:tcPr>
          <w:p>
            <w:pPr>
              <w:pStyle w:val="TableParagraph"/>
              <w:spacing w:before="29"/>
              <w:ind w:left="358" w:right="342"/>
              <w:rPr>
                <w:sz w:val="14"/>
              </w:rPr>
            </w:pPr>
            <w:r>
              <w:rPr>
                <w:sz w:val="14"/>
              </w:rPr>
              <w:t>FuCAS</w:t>
            </w:r>
          </w:p>
        </w:tc>
        <w:tc>
          <w:tcPr>
            <w:tcW w:w="1636" w:type="dxa"/>
          </w:tcPr>
          <w:p>
            <w:pPr>
              <w:pStyle w:val="TableParagraph"/>
              <w:spacing w:before="29"/>
              <w:ind w:left="451"/>
              <w:jc w:val="left"/>
              <w:rPr>
                <w:sz w:val="14"/>
              </w:rPr>
            </w:pPr>
            <w:r>
              <w:rPr>
                <w:sz w:val="14"/>
              </w:rPr>
              <w:t>13.572,30 €</w:t>
            </w:r>
          </w:p>
        </w:tc>
      </w:tr>
      <w:tr>
        <w:trPr>
          <w:trHeight w:val="275" w:hRule="atLeast"/>
        </w:trPr>
        <w:tc>
          <w:tcPr>
            <w:tcW w:w="1430" w:type="dxa"/>
          </w:tcPr>
          <w:p>
            <w:pPr>
              <w:pStyle w:val="TableParagraph"/>
              <w:spacing w:before="46"/>
              <w:ind w:right="320"/>
              <w:jc w:val="right"/>
              <w:rPr>
                <w:sz w:val="16"/>
              </w:rPr>
            </w:pPr>
            <w:r>
              <w:rPr>
                <w:sz w:val="16"/>
              </w:rPr>
              <w:t>Suministro</w:t>
            </w:r>
          </w:p>
        </w:tc>
        <w:tc>
          <w:tcPr>
            <w:tcW w:w="1867" w:type="dxa"/>
          </w:tcPr>
          <w:p>
            <w:pPr>
              <w:pStyle w:val="TableParagraph"/>
              <w:spacing w:before="69"/>
              <w:ind w:left="165" w:right="151"/>
              <w:rPr>
                <w:sz w:val="12"/>
              </w:rPr>
            </w:pPr>
            <w:r>
              <w:rPr>
                <w:sz w:val="12"/>
              </w:rPr>
              <w:t>Abierto simplificado sumario</w:t>
            </w:r>
          </w:p>
        </w:tc>
        <w:tc>
          <w:tcPr>
            <w:tcW w:w="2085" w:type="dxa"/>
          </w:tcPr>
          <w:p>
            <w:pPr>
              <w:pStyle w:val="TableParagraph"/>
              <w:spacing w:line="136" w:lineRule="exact" w:before="4"/>
              <w:ind w:left="209" w:right="179" w:firstLine="81"/>
              <w:jc w:val="left"/>
              <w:rPr>
                <w:sz w:val="12"/>
              </w:rPr>
            </w:pPr>
            <w:r>
              <w:rPr>
                <w:sz w:val="12"/>
              </w:rPr>
              <w:t>SOCIEDAD ESPAÑOLA DE CARBUROS METALICOS S.A.</w:t>
            </w:r>
          </w:p>
        </w:tc>
        <w:tc>
          <w:tcPr>
            <w:tcW w:w="1528" w:type="dxa"/>
          </w:tcPr>
          <w:p>
            <w:pPr>
              <w:pStyle w:val="TableParagraph"/>
              <w:spacing w:before="62"/>
              <w:ind w:left="171" w:right="164"/>
              <w:rPr>
                <w:sz w:val="13"/>
              </w:rPr>
            </w:pPr>
            <w:r>
              <w:rPr>
                <w:sz w:val="13"/>
              </w:rPr>
              <w:t>Botellas de oxígeno</w:t>
            </w:r>
          </w:p>
        </w:tc>
        <w:tc>
          <w:tcPr>
            <w:tcW w:w="1842" w:type="dxa"/>
          </w:tcPr>
          <w:p>
            <w:pPr>
              <w:pStyle w:val="TableParagraph"/>
              <w:spacing w:before="58"/>
              <w:ind w:left="359" w:right="342"/>
              <w:rPr>
                <w:sz w:val="14"/>
              </w:rPr>
            </w:pPr>
            <w:r>
              <w:rPr>
                <w:sz w:val="14"/>
              </w:rPr>
              <w:t>La Casita</w:t>
            </w:r>
          </w:p>
        </w:tc>
        <w:tc>
          <w:tcPr>
            <w:tcW w:w="1636" w:type="dxa"/>
          </w:tcPr>
          <w:p>
            <w:pPr>
              <w:pStyle w:val="TableParagraph"/>
              <w:spacing w:before="58"/>
              <w:ind w:left="490"/>
              <w:jc w:val="left"/>
              <w:rPr>
                <w:sz w:val="14"/>
              </w:rPr>
            </w:pPr>
            <w:r>
              <w:rPr>
                <w:sz w:val="14"/>
              </w:rPr>
              <w:t>5.619,50 €</w:t>
            </w:r>
          </w:p>
        </w:tc>
      </w:tr>
      <w:tr>
        <w:trPr>
          <w:trHeight w:val="213" w:hRule="atLeast"/>
        </w:trPr>
        <w:tc>
          <w:tcPr>
            <w:tcW w:w="1430" w:type="dxa"/>
          </w:tcPr>
          <w:p>
            <w:pPr>
              <w:pStyle w:val="TableParagraph"/>
              <w:spacing w:line="178" w:lineRule="exact" w:before="15"/>
              <w:ind w:right="375"/>
              <w:jc w:val="right"/>
              <w:rPr>
                <w:sz w:val="16"/>
              </w:rPr>
            </w:pPr>
            <w:r>
              <w:rPr>
                <w:sz w:val="16"/>
              </w:rPr>
              <w:t>Servicios</w:t>
            </w:r>
          </w:p>
        </w:tc>
        <w:tc>
          <w:tcPr>
            <w:tcW w:w="1867" w:type="dxa"/>
          </w:tcPr>
          <w:p>
            <w:pPr>
              <w:pStyle w:val="TableParagraph"/>
              <w:spacing w:before="38"/>
              <w:ind w:left="165" w:right="151"/>
              <w:rPr>
                <w:sz w:val="12"/>
              </w:rPr>
            </w:pPr>
            <w:r>
              <w:rPr>
                <w:sz w:val="12"/>
              </w:rPr>
              <w:t>Abierto simplificado sumario</w:t>
            </w:r>
          </w:p>
        </w:tc>
        <w:tc>
          <w:tcPr>
            <w:tcW w:w="2085" w:type="dxa"/>
          </w:tcPr>
          <w:p>
            <w:pPr>
              <w:pStyle w:val="TableParagraph"/>
              <w:spacing w:before="38"/>
              <w:ind w:left="316" w:right="311"/>
              <w:rPr>
                <w:sz w:val="12"/>
              </w:rPr>
            </w:pPr>
            <w:r>
              <w:rPr>
                <w:sz w:val="12"/>
              </w:rPr>
              <w:t>EULEN SEGURIDAD S.A.</w:t>
            </w:r>
          </w:p>
        </w:tc>
        <w:tc>
          <w:tcPr>
            <w:tcW w:w="1528" w:type="dxa"/>
          </w:tcPr>
          <w:p>
            <w:pPr>
              <w:pStyle w:val="TableParagraph"/>
              <w:spacing w:before="31"/>
              <w:ind w:left="171" w:right="163"/>
              <w:rPr>
                <w:sz w:val="13"/>
              </w:rPr>
            </w:pPr>
            <w:r>
              <w:rPr>
                <w:sz w:val="13"/>
              </w:rPr>
              <w:t>Vigilante/Escolta</w:t>
            </w:r>
          </w:p>
        </w:tc>
        <w:tc>
          <w:tcPr>
            <w:tcW w:w="1842" w:type="dxa"/>
          </w:tcPr>
          <w:p>
            <w:pPr>
              <w:pStyle w:val="TableParagraph"/>
              <w:spacing w:before="26"/>
              <w:ind w:left="359" w:right="342"/>
              <w:rPr>
                <w:sz w:val="14"/>
              </w:rPr>
            </w:pPr>
            <w:r>
              <w:rPr>
                <w:sz w:val="14"/>
              </w:rPr>
              <w:t>Encargo Curatela</w:t>
            </w:r>
          </w:p>
        </w:tc>
        <w:tc>
          <w:tcPr>
            <w:tcW w:w="1636" w:type="dxa"/>
          </w:tcPr>
          <w:p>
            <w:pPr>
              <w:pStyle w:val="TableParagraph"/>
              <w:spacing w:before="26"/>
              <w:ind w:left="451"/>
              <w:jc w:val="left"/>
              <w:rPr>
                <w:sz w:val="14"/>
              </w:rPr>
            </w:pPr>
            <w:r>
              <w:rPr>
                <w:sz w:val="14"/>
              </w:rPr>
              <w:t>51.806,49 €</w:t>
            </w:r>
          </w:p>
        </w:tc>
      </w:tr>
    </w:tbl>
    <w:p>
      <w:pPr>
        <w:pStyle w:val="BodyText"/>
        <w:spacing w:before="11"/>
      </w:pPr>
    </w:p>
    <w:p>
      <w:pPr>
        <w:pStyle w:val="BodyText"/>
        <w:ind w:left="112" w:right="305"/>
        <w:jc w:val="both"/>
      </w:pPr>
      <w:r>
        <w:rPr/>
        <w:t>Además, por este procedimiento se está licitando en estos momentos el Servicio de Protección de Datos y Gestión y Soporte del Canal de Denuncias de FuCAS, publicado en la plataforma de contratación del sector público, el pasado 30 de</w:t>
      </w:r>
      <w:r>
        <w:rPr>
          <w:spacing w:val="-4"/>
        </w:rPr>
        <w:t> </w:t>
      </w:r>
      <w:r>
        <w:rPr/>
        <w:t>octubre</w:t>
      </w:r>
      <w:r>
        <w:rPr>
          <w:spacing w:val="-4"/>
        </w:rPr>
        <w:t> </w:t>
      </w:r>
      <w:r>
        <w:rPr/>
        <w:t>de</w:t>
      </w:r>
      <w:r>
        <w:rPr>
          <w:spacing w:val="-4"/>
        </w:rPr>
        <w:t> </w:t>
      </w:r>
      <w:r>
        <w:rPr/>
        <w:t>2025,</w:t>
      </w:r>
      <w:r>
        <w:rPr>
          <w:spacing w:val="-4"/>
        </w:rPr>
        <w:t> </w:t>
      </w:r>
      <w:r>
        <w:rPr/>
        <w:t>para</w:t>
      </w:r>
      <w:r>
        <w:rPr>
          <w:spacing w:val="-4"/>
        </w:rPr>
        <w:t> </w:t>
      </w:r>
      <w:r>
        <w:rPr/>
        <w:t>60</w:t>
      </w:r>
      <w:r>
        <w:rPr>
          <w:spacing w:val="-1"/>
        </w:rPr>
        <w:t> </w:t>
      </w:r>
      <w:r>
        <w:rPr/>
        <w:t>meses</w:t>
      </w:r>
      <w:r>
        <w:rPr>
          <w:spacing w:val="-2"/>
        </w:rPr>
        <w:t> </w:t>
      </w:r>
      <w:r>
        <w:rPr/>
        <w:t>de</w:t>
      </w:r>
      <w:r>
        <w:rPr>
          <w:spacing w:val="-4"/>
        </w:rPr>
        <w:t> </w:t>
      </w:r>
      <w:r>
        <w:rPr/>
        <w:t>servicio,</w:t>
      </w:r>
      <w:r>
        <w:rPr>
          <w:spacing w:val="-6"/>
        </w:rPr>
        <w:t> </w:t>
      </w:r>
      <w:r>
        <w:rPr/>
        <w:t>sin</w:t>
      </w:r>
      <w:r>
        <w:rPr>
          <w:spacing w:val="-4"/>
        </w:rPr>
        <w:t> </w:t>
      </w:r>
      <w:r>
        <w:rPr/>
        <w:t>opción</w:t>
      </w:r>
      <w:r>
        <w:rPr>
          <w:spacing w:val="-4"/>
        </w:rPr>
        <w:t> </w:t>
      </w:r>
      <w:r>
        <w:rPr/>
        <w:t>a</w:t>
      </w:r>
      <w:r>
        <w:rPr>
          <w:spacing w:val="-4"/>
        </w:rPr>
        <w:t> </w:t>
      </w:r>
      <w:r>
        <w:rPr/>
        <w:t>prórroga, por</w:t>
      </w:r>
      <w:r>
        <w:rPr>
          <w:spacing w:val="-5"/>
        </w:rPr>
        <w:t> </w:t>
      </w:r>
      <w:r>
        <w:rPr/>
        <w:t>importe</w:t>
      </w:r>
      <w:r>
        <w:rPr>
          <w:spacing w:val="-4"/>
        </w:rPr>
        <w:t> </w:t>
      </w:r>
      <w:r>
        <w:rPr/>
        <w:t>de</w:t>
      </w:r>
      <w:r>
        <w:rPr>
          <w:spacing w:val="-1"/>
        </w:rPr>
        <w:t> </w:t>
      </w:r>
      <w:r>
        <w:rPr/>
        <w:t>7.193,36</w:t>
      </w:r>
      <w:r>
        <w:rPr>
          <w:spacing w:val="-4"/>
        </w:rPr>
        <w:t> </w:t>
      </w:r>
      <w:r>
        <w:rPr/>
        <w:t>€</w:t>
      </w:r>
      <w:r>
        <w:rPr>
          <w:spacing w:val="-4"/>
        </w:rPr>
        <w:t> </w:t>
      </w:r>
      <w:r>
        <w:rPr/>
        <w:t>(con</w:t>
      </w:r>
      <w:r>
        <w:rPr>
          <w:spacing w:val="-4"/>
        </w:rPr>
        <w:t> </w:t>
      </w:r>
      <w:r>
        <w:rPr/>
        <w:t>Igic)</w:t>
      </w:r>
      <w:r>
        <w:rPr>
          <w:spacing w:val="-4"/>
        </w:rPr>
        <w:t> </w:t>
      </w:r>
      <w:r>
        <w:rPr/>
        <w:t>y</w:t>
      </w:r>
      <w:r>
        <w:rPr>
          <w:spacing w:val="-3"/>
        </w:rPr>
        <w:t> </w:t>
      </w:r>
      <w:r>
        <w:rPr/>
        <w:t>que</w:t>
      </w:r>
      <w:r>
        <w:rPr>
          <w:spacing w:val="-4"/>
        </w:rPr>
        <w:t> </w:t>
      </w:r>
      <w:r>
        <w:rPr/>
        <w:t>en</w:t>
      </w:r>
      <w:r>
        <w:rPr>
          <w:spacing w:val="-4"/>
        </w:rPr>
        <w:t> </w:t>
      </w:r>
      <w:r>
        <w:rPr/>
        <w:t>estos momentos está en evaluación por la mesa de</w:t>
      </w:r>
      <w:r>
        <w:rPr>
          <w:spacing w:val="-1"/>
        </w:rPr>
        <w:t> </w:t>
      </w:r>
      <w:r>
        <w:rPr/>
        <w:t>contratación.</w:t>
      </w:r>
    </w:p>
    <w:p>
      <w:pPr>
        <w:pStyle w:val="BodyText"/>
        <w:rPr>
          <w:sz w:val="20"/>
        </w:rPr>
      </w:pPr>
    </w:p>
    <w:p>
      <w:pPr>
        <w:pStyle w:val="BodyText"/>
        <w:ind w:left="112"/>
        <w:jc w:val="both"/>
      </w:pPr>
      <w:r>
        <w:rPr/>
        <w:t>Detallado en el siguiente cuadro:</w:t>
      </w:r>
    </w:p>
    <w:tbl>
      <w:tblPr>
        <w:tblW w:w="0" w:type="auto"/>
        <w:jc w:val="left"/>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70"/>
        <w:gridCol w:w="2136"/>
        <w:gridCol w:w="1133"/>
        <w:gridCol w:w="2127"/>
        <w:gridCol w:w="1419"/>
        <w:gridCol w:w="1592"/>
      </w:tblGrid>
      <w:tr>
        <w:trPr>
          <w:trHeight w:val="253" w:hRule="atLeast"/>
        </w:trPr>
        <w:tc>
          <w:tcPr>
            <w:tcW w:w="1970" w:type="dxa"/>
          </w:tcPr>
          <w:p>
            <w:pPr>
              <w:pStyle w:val="TableParagraph"/>
              <w:spacing w:before="62"/>
              <w:ind w:left="126" w:right="112"/>
              <w:rPr>
                <w:b/>
                <w:sz w:val="11"/>
              </w:rPr>
            </w:pPr>
            <w:r>
              <w:rPr>
                <w:b/>
                <w:sz w:val="11"/>
              </w:rPr>
              <w:t>CATEGORÍA DE LA LICITACIÓN</w:t>
            </w:r>
          </w:p>
        </w:tc>
        <w:tc>
          <w:tcPr>
            <w:tcW w:w="2136" w:type="dxa"/>
          </w:tcPr>
          <w:p>
            <w:pPr>
              <w:pStyle w:val="TableParagraph"/>
              <w:spacing w:before="62"/>
              <w:ind w:left="146" w:right="136"/>
              <w:rPr>
                <w:b/>
                <w:sz w:val="11"/>
              </w:rPr>
            </w:pPr>
            <w:r>
              <w:rPr>
                <w:b/>
                <w:sz w:val="11"/>
              </w:rPr>
              <w:t>PROCEDIMIENTO ADJUDICACIÓN</w:t>
            </w:r>
          </w:p>
        </w:tc>
        <w:tc>
          <w:tcPr>
            <w:tcW w:w="1133" w:type="dxa"/>
          </w:tcPr>
          <w:p>
            <w:pPr>
              <w:pStyle w:val="TableParagraph"/>
              <w:spacing w:before="62"/>
              <w:ind w:left="102" w:right="90"/>
              <w:rPr>
                <w:b/>
                <w:sz w:val="11"/>
              </w:rPr>
            </w:pPr>
            <w:r>
              <w:rPr>
                <w:b/>
                <w:sz w:val="11"/>
              </w:rPr>
              <w:t>SITUACIÓN</w:t>
            </w:r>
          </w:p>
        </w:tc>
        <w:tc>
          <w:tcPr>
            <w:tcW w:w="2127" w:type="dxa"/>
          </w:tcPr>
          <w:p>
            <w:pPr>
              <w:pStyle w:val="TableParagraph"/>
              <w:spacing w:before="62"/>
              <w:ind w:left="145" w:right="132"/>
              <w:rPr>
                <w:b/>
                <w:sz w:val="11"/>
              </w:rPr>
            </w:pPr>
            <w:r>
              <w:rPr>
                <w:b/>
                <w:sz w:val="11"/>
              </w:rPr>
              <w:t>OBJETO DEL CONTRATO</w:t>
            </w:r>
          </w:p>
        </w:tc>
        <w:tc>
          <w:tcPr>
            <w:tcW w:w="1419" w:type="dxa"/>
          </w:tcPr>
          <w:p>
            <w:pPr>
              <w:pStyle w:val="TableParagraph"/>
              <w:spacing w:before="62"/>
              <w:ind w:left="102" w:right="87"/>
              <w:rPr>
                <w:b/>
                <w:sz w:val="11"/>
              </w:rPr>
            </w:pPr>
            <w:r>
              <w:rPr>
                <w:b/>
                <w:sz w:val="11"/>
              </w:rPr>
              <w:t>CENTRO/ PROGRAMA</w:t>
            </w:r>
          </w:p>
        </w:tc>
        <w:tc>
          <w:tcPr>
            <w:tcW w:w="1592" w:type="dxa"/>
          </w:tcPr>
          <w:p>
            <w:pPr>
              <w:pStyle w:val="TableParagraph"/>
              <w:spacing w:line="128" w:lineRule="exact"/>
              <w:ind w:left="366" w:right="94" w:hanging="243"/>
              <w:jc w:val="left"/>
              <w:rPr>
                <w:b/>
                <w:sz w:val="11"/>
              </w:rPr>
            </w:pPr>
            <w:r>
              <w:rPr>
                <w:b/>
                <w:sz w:val="11"/>
              </w:rPr>
              <w:t>IMPORTE DE LICITACIÓN (IGIC INCLUIDO)</w:t>
            </w:r>
          </w:p>
        </w:tc>
      </w:tr>
      <w:tr>
        <w:trPr>
          <w:trHeight w:val="187" w:hRule="atLeast"/>
        </w:trPr>
        <w:tc>
          <w:tcPr>
            <w:tcW w:w="1970" w:type="dxa"/>
          </w:tcPr>
          <w:p>
            <w:pPr>
              <w:pStyle w:val="TableParagraph"/>
              <w:spacing w:before="29"/>
              <w:ind w:left="126" w:right="112"/>
              <w:rPr>
                <w:sz w:val="11"/>
              </w:rPr>
            </w:pPr>
            <w:r>
              <w:rPr>
                <w:sz w:val="11"/>
              </w:rPr>
              <w:t>Servicios</w:t>
            </w:r>
          </w:p>
        </w:tc>
        <w:tc>
          <w:tcPr>
            <w:tcW w:w="2136" w:type="dxa"/>
          </w:tcPr>
          <w:p>
            <w:pPr>
              <w:pStyle w:val="TableParagraph"/>
              <w:spacing w:before="29"/>
              <w:ind w:left="144" w:right="136"/>
              <w:rPr>
                <w:sz w:val="11"/>
              </w:rPr>
            </w:pPr>
            <w:r>
              <w:rPr>
                <w:sz w:val="11"/>
              </w:rPr>
              <w:t>Abierto simplificado sumario</w:t>
            </w:r>
          </w:p>
        </w:tc>
        <w:tc>
          <w:tcPr>
            <w:tcW w:w="1133" w:type="dxa"/>
          </w:tcPr>
          <w:p>
            <w:pPr>
              <w:pStyle w:val="TableParagraph"/>
              <w:spacing w:before="29"/>
              <w:ind w:left="102" w:right="93"/>
              <w:rPr>
                <w:sz w:val="11"/>
              </w:rPr>
            </w:pPr>
            <w:r>
              <w:rPr>
                <w:sz w:val="11"/>
              </w:rPr>
              <w:t>Valoración ofertas</w:t>
            </w:r>
          </w:p>
        </w:tc>
        <w:tc>
          <w:tcPr>
            <w:tcW w:w="2127" w:type="dxa"/>
          </w:tcPr>
          <w:p>
            <w:pPr>
              <w:pStyle w:val="TableParagraph"/>
              <w:spacing w:before="29"/>
              <w:ind w:left="146" w:right="132"/>
              <w:rPr>
                <w:sz w:val="11"/>
              </w:rPr>
            </w:pPr>
            <w:r>
              <w:rPr>
                <w:sz w:val="11"/>
              </w:rPr>
              <w:t>Protección de datos/canal denuncias</w:t>
            </w:r>
          </w:p>
        </w:tc>
        <w:tc>
          <w:tcPr>
            <w:tcW w:w="1419" w:type="dxa"/>
          </w:tcPr>
          <w:p>
            <w:pPr>
              <w:pStyle w:val="TableParagraph"/>
              <w:spacing w:before="29"/>
              <w:ind w:left="99" w:right="87"/>
              <w:rPr>
                <w:sz w:val="11"/>
              </w:rPr>
            </w:pPr>
            <w:r>
              <w:rPr>
                <w:sz w:val="11"/>
              </w:rPr>
              <w:t>FuCAS</w:t>
            </w:r>
          </w:p>
        </w:tc>
        <w:tc>
          <w:tcPr>
            <w:tcW w:w="1592" w:type="dxa"/>
          </w:tcPr>
          <w:p>
            <w:pPr>
              <w:pStyle w:val="TableParagraph"/>
              <w:spacing w:before="29"/>
              <w:ind w:left="521"/>
              <w:jc w:val="left"/>
              <w:rPr>
                <w:sz w:val="11"/>
              </w:rPr>
            </w:pPr>
            <w:r>
              <w:rPr>
                <w:sz w:val="11"/>
              </w:rPr>
              <w:t>7. 193,36 €</w:t>
            </w:r>
          </w:p>
        </w:tc>
      </w:tr>
    </w:tbl>
    <w:p>
      <w:pPr>
        <w:pStyle w:val="BodyText"/>
        <w:spacing w:before="11"/>
      </w:pPr>
    </w:p>
    <w:p>
      <w:pPr>
        <w:pStyle w:val="BodyText"/>
        <w:ind w:left="112" w:right="304"/>
        <w:jc w:val="both"/>
      </w:pPr>
      <w:r>
        <w:rPr/>
        <w:t>Este</w:t>
      </w:r>
      <w:r>
        <w:rPr>
          <w:spacing w:val="-7"/>
        </w:rPr>
        <w:t> </w:t>
      </w:r>
      <w:r>
        <w:rPr/>
        <w:t>procedimiento,</w:t>
      </w:r>
      <w:r>
        <w:rPr>
          <w:spacing w:val="-7"/>
        </w:rPr>
        <w:t> </w:t>
      </w:r>
      <w:r>
        <w:rPr/>
        <w:t>reduce</w:t>
      </w:r>
      <w:r>
        <w:rPr>
          <w:spacing w:val="-9"/>
        </w:rPr>
        <w:t> </w:t>
      </w:r>
      <w:r>
        <w:rPr/>
        <w:t>los</w:t>
      </w:r>
      <w:r>
        <w:rPr>
          <w:spacing w:val="-6"/>
        </w:rPr>
        <w:t> </w:t>
      </w:r>
      <w:r>
        <w:rPr/>
        <w:t>trámites</w:t>
      </w:r>
      <w:r>
        <w:rPr>
          <w:spacing w:val="-8"/>
        </w:rPr>
        <w:t> </w:t>
      </w:r>
      <w:r>
        <w:rPr/>
        <w:t>del</w:t>
      </w:r>
      <w:r>
        <w:rPr>
          <w:spacing w:val="-6"/>
        </w:rPr>
        <w:t> </w:t>
      </w:r>
      <w:r>
        <w:rPr/>
        <w:t>procedimiento</w:t>
      </w:r>
      <w:r>
        <w:rPr>
          <w:spacing w:val="-6"/>
        </w:rPr>
        <w:t> </w:t>
      </w:r>
      <w:r>
        <w:rPr/>
        <w:t>abierto</w:t>
      </w:r>
      <w:r>
        <w:rPr>
          <w:spacing w:val="-7"/>
        </w:rPr>
        <w:t> </w:t>
      </w:r>
      <w:r>
        <w:rPr/>
        <w:t>ordinario,</w:t>
      </w:r>
      <w:r>
        <w:rPr>
          <w:spacing w:val="-7"/>
        </w:rPr>
        <w:t> </w:t>
      </w:r>
      <w:r>
        <w:rPr/>
        <w:t>es</w:t>
      </w:r>
      <w:r>
        <w:rPr>
          <w:spacing w:val="-8"/>
        </w:rPr>
        <w:t> </w:t>
      </w:r>
      <w:r>
        <w:rPr/>
        <w:t>más</w:t>
      </w:r>
      <w:r>
        <w:rPr>
          <w:spacing w:val="-9"/>
        </w:rPr>
        <w:t> </w:t>
      </w:r>
      <w:r>
        <w:rPr/>
        <w:t>ágil,</w:t>
      </w:r>
      <w:r>
        <w:rPr>
          <w:spacing w:val="-6"/>
        </w:rPr>
        <w:t> </w:t>
      </w:r>
      <w:r>
        <w:rPr/>
        <w:t>porque</w:t>
      </w:r>
      <w:r>
        <w:rPr>
          <w:spacing w:val="-7"/>
        </w:rPr>
        <w:t> </w:t>
      </w:r>
      <w:r>
        <w:rPr/>
        <w:t>por</w:t>
      </w:r>
      <w:r>
        <w:rPr>
          <w:spacing w:val="-7"/>
        </w:rPr>
        <w:t> </w:t>
      </w:r>
      <w:r>
        <w:rPr/>
        <w:t>regla</w:t>
      </w:r>
      <w:r>
        <w:rPr>
          <w:spacing w:val="-7"/>
        </w:rPr>
        <w:t> </w:t>
      </w:r>
      <w:r>
        <w:rPr/>
        <w:t>general,</w:t>
      </w:r>
      <w:r>
        <w:rPr>
          <w:spacing w:val="-11"/>
        </w:rPr>
        <w:t> </w:t>
      </w:r>
      <w:r>
        <w:rPr/>
        <w:t>supone un</w:t>
      </w:r>
      <w:r>
        <w:rPr>
          <w:spacing w:val="-4"/>
        </w:rPr>
        <w:t> </w:t>
      </w:r>
      <w:r>
        <w:rPr/>
        <w:t>plazo</w:t>
      </w:r>
      <w:r>
        <w:rPr>
          <w:spacing w:val="-3"/>
        </w:rPr>
        <w:t> </w:t>
      </w:r>
      <w:r>
        <w:rPr/>
        <w:t>de</w:t>
      </w:r>
      <w:r>
        <w:rPr>
          <w:spacing w:val="-4"/>
        </w:rPr>
        <w:t> </w:t>
      </w:r>
      <w:r>
        <w:rPr/>
        <w:t>10</w:t>
      </w:r>
      <w:r>
        <w:rPr>
          <w:spacing w:val="-3"/>
        </w:rPr>
        <w:t> </w:t>
      </w:r>
      <w:r>
        <w:rPr/>
        <w:t>días</w:t>
      </w:r>
      <w:r>
        <w:rPr>
          <w:spacing w:val="-3"/>
        </w:rPr>
        <w:t> </w:t>
      </w:r>
      <w:r>
        <w:rPr/>
        <w:t>hábiles</w:t>
      </w:r>
      <w:r>
        <w:rPr>
          <w:spacing w:val="-2"/>
        </w:rPr>
        <w:t> </w:t>
      </w:r>
      <w:r>
        <w:rPr/>
        <w:t>para</w:t>
      </w:r>
      <w:r>
        <w:rPr>
          <w:spacing w:val="-3"/>
        </w:rPr>
        <w:t> </w:t>
      </w:r>
      <w:r>
        <w:rPr/>
        <w:t>para</w:t>
      </w:r>
      <w:r>
        <w:rPr>
          <w:spacing w:val="-1"/>
        </w:rPr>
        <w:t> </w:t>
      </w:r>
      <w:r>
        <w:rPr/>
        <w:t>presentar</w:t>
      </w:r>
      <w:r>
        <w:rPr>
          <w:spacing w:val="-4"/>
        </w:rPr>
        <w:t> </w:t>
      </w:r>
      <w:r>
        <w:rPr/>
        <w:t>oferta,</w:t>
      </w:r>
      <w:r>
        <w:rPr>
          <w:spacing w:val="-4"/>
        </w:rPr>
        <w:t> </w:t>
      </w:r>
      <w:r>
        <w:rPr/>
        <w:t>todos</w:t>
      </w:r>
      <w:r>
        <w:rPr>
          <w:spacing w:val="-2"/>
        </w:rPr>
        <w:t> </w:t>
      </w:r>
      <w:r>
        <w:rPr/>
        <w:t>los</w:t>
      </w:r>
      <w:r>
        <w:rPr>
          <w:spacing w:val="-3"/>
        </w:rPr>
        <w:t> </w:t>
      </w:r>
      <w:r>
        <w:rPr/>
        <w:t>criterios</w:t>
      </w:r>
      <w:r>
        <w:rPr>
          <w:spacing w:val="-2"/>
        </w:rPr>
        <w:t> </w:t>
      </w:r>
      <w:r>
        <w:rPr/>
        <w:t>de</w:t>
      </w:r>
      <w:r>
        <w:rPr>
          <w:spacing w:val="-4"/>
        </w:rPr>
        <w:t> </w:t>
      </w:r>
      <w:r>
        <w:rPr/>
        <w:t>adjudicación</w:t>
      </w:r>
      <w:r>
        <w:rPr>
          <w:spacing w:val="-3"/>
        </w:rPr>
        <w:t> </w:t>
      </w:r>
      <w:r>
        <w:rPr/>
        <w:t>que</w:t>
      </w:r>
      <w:r>
        <w:rPr>
          <w:spacing w:val="-3"/>
        </w:rPr>
        <w:t> </w:t>
      </w:r>
      <w:r>
        <w:rPr/>
        <w:t>se</w:t>
      </w:r>
      <w:r>
        <w:rPr>
          <w:spacing w:val="-4"/>
        </w:rPr>
        <w:t> </w:t>
      </w:r>
      <w:r>
        <w:rPr/>
        <w:t>utilizan</w:t>
      </w:r>
      <w:r>
        <w:rPr>
          <w:spacing w:val="-3"/>
        </w:rPr>
        <w:t> </w:t>
      </w:r>
      <w:r>
        <w:rPr/>
        <w:t>son</w:t>
      </w:r>
      <w:r>
        <w:rPr>
          <w:spacing w:val="-4"/>
        </w:rPr>
        <w:t> </w:t>
      </w:r>
      <w:r>
        <w:rPr/>
        <w:t>automáticos (cuantificables mediante fórmulas), se exime la acreditación de la Solvencia (económica-financiera y</w:t>
      </w:r>
      <w:r>
        <w:rPr>
          <w:spacing w:val="-30"/>
        </w:rPr>
        <w:t> </w:t>
      </w:r>
      <w:r>
        <w:rPr/>
        <w:t>técnica-profesional), no es necesaria la constitución de la mesa de contratación, desaparece la obligación de constituir garantía definitiva y la formalización del contrato consistirá en la firma de aceptación que pondrá el contratista en la resolución de adjudicación del contrato.</w:t>
      </w:r>
    </w:p>
    <w:p>
      <w:pPr>
        <w:pStyle w:val="BodyText"/>
        <w:spacing w:line="436" w:lineRule="exact" w:before="47"/>
        <w:ind w:left="112" w:right="349"/>
        <w:jc w:val="both"/>
      </w:pPr>
      <w:r>
        <w:rPr/>
        <w:t>Así, por esta modalidad de procedimiento, se están preparando los pliegos de las licitaciones de los siguientes servicios: 1.- Servicio de Implantación, Mantenimiento y Soporte de la Plataforma de Gestión Integral del Personal de FuCAS.</w:t>
      </w:r>
    </w:p>
    <w:p>
      <w:pPr>
        <w:pStyle w:val="BodyText"/>
        <w:spacing w:line="172" w:lineRule="exact"/>
        <w:ind w:left="112"/>
      </w:pPr>
      <w:r>
        <w:rPr/>
        <w:t>2.- Servicio de Mantenimiento de los Aparatos de Aire Acondicionados de FuCAS.</w:t>
      </w:r>
    </w:p>
    <w:p>
      <w:pPr>
        <w:pStyle w:val="BodyText"/>
        <w:ind w:left="112" w:right="2362"/>
      </w:pPr>
      <w:r>
        <w:rPr/>
        <w:t>3.- Servicio de Mantenimiento y Desarrollo de un Portal Web de Ofertas de Empleo para FuCAS. 4.- Servicio de Evaluación de Riesgos Psicosociales del Personal de FuCAS.</w:t>
      </w:r>
    </w:p>
    <w:p>
      <w:pPr>
        <w:pStyle w:val="BodyText"/>
        <w:ind w:left="112"/>
      </w:pPr>
      <w:r>
        <w:rPr/>
        <w:t>5.- Servicio de Asesoramiento Psicológico y Coaching Laboral para el Personal de FuCAS.</w:t>
      </w:r>
    </w:p>
    <w:p>
      <w:pPr>
        <w:pStyle w:val="BodyText"/>
        <w:rPr>
          <w:sz w:val="20"/>
        </w:rPr>
      </w:pPr>
    </w:p>
    <w:p>
      <w:pPr>
        <w:pStyle w:val="BodyText"/>
        <w:spacing w:line="259" w:lineRule="auto" w:before="178"/>
        <w:ind w:left="112" w:right="306"/>
        <w:jc w:val="both"/>
      </w:pPr>
      <w:r>
        <w:rPr/>
        <w:t>Finalmente, se procedió por </w:t>
      </w:r>
      <w:r>
        <w:rPr>
          <w:i/>
        </w:rPr>
        <w:t>contratación directa, </w:t>
      </w:r>
      <w:r>
        <w:rPr/>
        <w:t>tal y como se establece en el artículo 318.a) de la LCSP antes mencionado, de varios servicios cuyos importes no alcanzan los 15.000 €, formalizada después del primer trimestre de</w:t>
      </w:r>
    </w:p>
    <w:p>
      <w:pPr>
        <w:pStyle w:val="BodyText"/>
        <w:spacing w:before="9"/>
        <w:rPr>
          <w:sz w:val="18"/>
        </w:rPr>
      </w:pPr>
    </w:p>
    <w:p>
      <w:pPr>
        <w:pStyle w:val="Heading1"/>
      </w:pPr>
      <w:r>
        <w:rPr>
          <w:color w:val="4471C4"/>
          <w:w w:val="100"/>
        </w:rPr>
        <w:t>3</w:t>
      </w:r>
    </w:p>
    <w:p>
      <w:pPr>
        <w:spacing w:after="0"/>
        <w:sectPr>
          <w:pgSz w:w="11910" w:h="16840"/>
          <w:pgMar w:top="1580" w:bottom="280" w:left="1020" w:right="260"/>
        </w:sectPr>
      </w:pPr>
    </w:p>
    <w:p>
      <w:pPr>
        <w:pStyle w:val="BodyText"/>
        <w:rPr>
          <w:rFonts w:ascii="Calibri"/>
          <w:sz w:val="20"/>
        </w:rPr>
      </w:pPr>
      <w:r>
        <w:rPr/>
        <w:drawing>
          <wp:anchor distT="0" distB="0" distL="0" distR="0" allowOverlap="1" layoutInCell="1" locked="0" behindDoc="1" simplePos="0" relativeHeight="251039744">
            <wp:simplePos x="0" y="0"/>
            <wp:positionH relativeFrom="page">
              <wp:posOffset>0</wp:posOffset>
            </wp:positionH>
            <wp:positionV relativeFrom="page">
              <wp:posOffset>635</wp:posOffset>
            </wp:positionV>
            <wp:extent cx="7558405" cy="10691748"/>
            <wp:effectExtent l="0" t="0" r="0" b="0"/>
            <wp:wrapNone/>
            <wp:docPr id="7" name="image1.png"/>
            <wp:cNvGraphicFramePr>
              <a:graphicFrameLocks noChangeAspect="1"/>
            </wp:cNvGraphicFramePr>
            <a:graphic>
              <a:graphicData uri="http://schemas.openxmlformats.org/drawingml/2006/picture">
                <pic:pic>
                  <pic:nvPicPr>
                    <pic:cNvPr id="8" name="image1.png"/>
                    <pic:cNvPicPr/>
                  </pic:nvPicPr>
                  <pic:blipFill>
                    <a:blip r:embed="rId5" cstate="print"/>
                    <a:stretch>
                      <a:fillRect/>
                    </a:stretch>
                  </pic:blipFill>
                  <pic:spPr>
                    <a:xfrm>
                      <a:off x="0" y="0"/>
                      <a:ext cx="7558405" cy="10691748"/>
                    </a:xfrm>
                    <a:prstGeom prst="rect">
                      <a:avLst/>
                    </a:prstGeom>
                  </pic:spPr>
                </pic:pic>
              </a:graphicData>
            </a:graphic>
          </wp:anchor>
        </w:drawing>
      </w:r>
    </w:p>
    <w:p>
      <w:pPr>
        <w:pStyle w:val="BodyText"/>
        <w:spacing w:before="1"/>
        <w:rPr>
          <w:rFonts w:ascii="Calibri"/>
          <w:sz w:val="27"/>
        </w:rPr>
      </w:pPr>
    </w:p>
    <w:p>
      <w:pPr>
        <w:pStyle w:val="BodyText"/>
        <w:spacing w:line="259" w:lineRule="auto" w:before="94"/>
        <w:ind w:left="112" w:right="304"/>
        <w:jc w:val="both"/>
      </w:pPr>
      <w:r>
        <w:rPr/>
        <w:t>2025 de la Fundación, y que se detalla en el siguiente cuadro, a modo de resumen: la empresa actualmente contratada, el tipo de servicio, importe de contrato, centro/programa y fecha de formalización:</w:t>
      </w:r>
    </w:p>
    <w:p>
      <w:pPr>
        <w:pStyle w:val="BodyText"/>
        <w:spacing w:before="10"/>
        <w:rPr>
          <w:sz w:val="13"/>
        </w:rPr>
      </w:pPr>
    </w:p>
    <w:tbl>
      <w:tblPr>
        <w:tblW w:w="0" w:type="auto"/>
        <w:jc w:val="left"/>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91"/>
        <w:gridCol w:w="1413"/>
        <w:gridCol w:w="2267"/>
        <w:gridCol w:w="1984"/>
        <w:gridCol w:w="1418"/>
        <w:gridCol w:w="782"/>
        <w:gridCol w:w="1392"/>
      </w:tblGrid>
      <w:tr>
        <w:trPr>
          <w:trHeight w:val="414" w:hRule="atLeast"/>
        </w:trPr>
        <w:tc>
          <w:tcPr>
            <w:tcW w:w="991" w:type="dxa"/>
          </w:tcPr>
          <w:p>
            <w:pPr>
              <w:pStyle w:val="TableParagraph"/>
              <w:spacing w:before="81"/>
              <w:ind w:left="110" w:right="191"/>
              <w:jc w:val="left"/>
              <w:rPr>
                <w:b/>
                <w:sz w:val="11"/>
              </w:rPr>
            </w:pPr>
            <w:r>
              <w:rPr>
                <w:b/>
                <w:sz w:val="11"/>
              </w:rPr>
              <w:t>CATEGORÍA LICITACIÓN</w:t>
            </w:r>
          </w:p>
        </w:tc>
        <w:tc>
          <w:tcPr>
            <w:tcW w:w="1413" w:type="dxa"/>
          </w:tcPr>
          <w:p>
            <w:pPr>
              <w:pStyle w:val="TableParagraph"/>
              <w:spacing w:before="5"/>
              <w:jc w:val="left"/>
              <w:rPr>
                <w:sz w:val="12"/>
              </w:rPr>
            </w:pPr>
          </w:p>
          <w:p>
            <w:pPr>
              <w:pStyle w:val="TableParagraph"/>
              <w:spacing w:before="1"/>
              <w:ind w:left="149" w:right="137"/>
              <w:rPr>
                <w:b/>
                <w:sz w:val="11"/>
              </w:rPr>
            </w:pPr>
            <w:r>
              <w:rPr>
                <w:b/>
                <w:sz w:val="11"/>
              </w:rPr>
              <w:t>PROCEDIMIENTO</w:t>
            </w:r>
          </w:p>
        </w:tc>
        <w:tc>
          <w:tcPr>
            <w:tcW w:w="2267" w:type="dxa"/>
          </w:tcPr>
          <w:p>
            <w:pPr>
              <w:pStyle w:val="TableParagraph"/>
              <w:spacing w:before="5"/>
              <w:jc w:val="left"/>
              <w:rPr>
                <w:sz w:val="12"/>
              </w:rPr>
            </w:pPr>
          </w:p>
          <w:p>
            <w:pPr>
              <w:pStyle w:val="TableParagraph"/>
              <w:spacing w:before="1"/>
              <w:ind w:left="682"/>
              <w:jc w:val="left"/>
              <w:rPr>
                <w:b/>
                <w:sz w:val="11"/>
              </w:rPr>
            </w:pPr>
            <w:r>
              <w:rPr>
                <w:b/>
                <w:sz w:val="11"/>
              </w:rPr>
              <w:t>ADJUDICATARIO</w:t>
            </w:r>
          </w:p>
        </w:tc>
        <w:tc>
          <w:tcPr>
            <w:tcW w:w="1984" w:type="dxa"/>
          </w:tcPr>
          <w:p>
            <w:pPr>
              <w:pStyle w:val="TableParagraph"/>
              <w:spacing w:before="1"/>
              <w:jc w:val="left"/>
              <w:rPr>
                <w:sz w:val="12"/>
              </w:rPr>
            </w:pPr>
          </w:p>
          <w:p>
            <w:pPr>
              <w:pStyle w:val="TableParagraph"/>
              <w:ind w:left="193" w:right="173"/>
              <w:rPr>
                <w:b/>
                <w:sz w:val="12"/>
              </w:rPr>
            </w:pPr>
            <w:r>
              <w:rPr>
                <w:b/>
                <w:sz w:val="12"/>
              </w:rPr>
              <w:t>OBJETO DEL CONTRATO</w:t>
            </w:r>
          </w:p>
        </w:tc>
        <w:tc>
          <w:tcPr>
            <w:tcW w:w="1418" w:type="dxa"/>
          </w:tcPr>
          <w:p>
            <w:pPr>
              <w:pStyle w:val="TableParagraph"/>
              <w:spacing w:before="69"/>
              <w:ind w:left="112" w:right="562"/>
              <w:jc w:val="left"/>
              <w:rPr>
                <w:b/>
                <w:sz w:val="12"/>
              </w:rPr>
            </w:pPr>
            <w:r>
              <w:rPr>
                <w:b/>
                <w:sz w:val="12"/>
              </w:rPr>
              <w:t>CENTRO/ PROGRAMA</w:t>
            </w:r>
          </w:p>
        </w:tc>
        <w:tc>
          <w:tcPr>
            <w:tcW w:w="782" w:type="dxa"/>
          </w:tcPr>
          <w:p>
            <w:pPr>
              <w:pStyle w:val="TableParagraph"/>
              <w:spacing w:before="69"/>
              <w:ind w:left="154" w:right="118" w:firstLine="64"/>
              <w:jc w:val="left"/>
              <w:rPr>
                <w:b/>
                <w:sz w:val="12"/>
              </w:rPr>
            </w:pPr>
            <w:r>
              <w:rPr>
                <w:b/>
                <w:sz w:val="12"/>
              </w:rPr>
              <w:t>Fecha contrato</w:t>
            </w:r>
          </w:p>
        </w:tc>
        <w:tc>
          <w:tcPr>
            <w:tcW w:w="1392" w:type="dxa"/>
          </w:tcPr>
          <w:p>
            <w:pPr>
              <w:pStyle w:val="TableParagraph"/>
              <w:ind w:left="246" w:right="232"/>
              <w:rPr>
                <w:b/>
                <w:sz w:val="12"/>
              </w:rPr>
            </w:pPr>
            <w:r>
              <w:rPr>
                <w:b/>
                <w:sz w:val="12"/>
              </w:rPr>
              <w:t>IMPORTE</w:t>
            </w:r>
          </w:p>
          <w:p>
            <w:pPr>
              <w:pStyle w:val="TableParagraph"/>
              <w:spacing w:line="136" w:lineRule="exact" w:before="5"/>
              <w:ind w:left="247" w:right="229"/>
              <w:rPr>
                <w:b/>
                <w:sz w:val="12"/>
              </w:rPr>
            </w:pPr>
            <w:r>
              <w:rPr>
                <w:b/>
                <w:spacing w:val="-1"/>
                <w:sz w:val="12"/>
              </w:rPr>
              <w:t>FORMALIZADO </w:t>
            </w:r>
            <w:r>
              <w:rPr>
                <w:b/>
                <w:sz w:val="12"/>
              </w:rPr>
              <w:t>(Con IGIC)</w:t>
            </w:r>
          </w:p>
        </w:tc>
      </w:tr>
      <w:tr>
        <w:trPr>
          <w:trHeight w:val="270" w:hRule="atLeast"/>
        </w:trPr>
        <w:tc>
          <w:tcPr>
            <w:tcW w:w="991" w:type="dxa"/>
          </w:tcPr>
          <w:p>
            <w:pPr>
              <w:pStyle w:val="TableParagraph"/>
              <w:spacing w:before="67"/>
              <w:ind w:left="262" w:right="251"/>
              <w:rPr>
                <w:sz w:val="12"/>
              </w:rPr>
            </w:pPr>
            <w:r>
              <w:rPr>
                <w:sz w:val="12"/>
              </w:rPr>
              <w:t>Servicio</w:t>
            </w:r>
          </w:p>
        </w:tc>
        <w:tc>
          <w:tcPr>
            <w:tcW w:w="1413" w:type="dxa"/>
          </w:tcPr>
          <w:p>
            <w:pPr>
              <w:pStyle w:val="TableParagraph"/>
              <w:spacing w:before="67"/>
              <w:ind w:left="151" w:right="137"/>
              <w:rPr>
                <w:sz w:val="12"/>
              </w:rPr>
            </w:pPr>
            <w:r>
              <w:rPr>
                <w:sz w:val="12"/>
              </w:rPr>
              <w:t>Adjudicación directa</w:t>
            </w:r>
          </w:p>
        </w:tc>
        <w:tc>
          <w:tcPr>
            <w:tcW w:w="2267" w:type="dxa"/>
          </w:tcPr>
          <w:p>
            <w:pPr>
              <w:pStyle w:val="TableParagraph"/>
              <w:spacing w:before="67"/>
              <w:ind w:right="365"/>
              <w:jc w:val="right"/>
              <w:rPr>
                <w:sz w:val="12"/>
              </w:rPr>
            </w:pPr>
            <w:r>
              <w:rPr>
                <w:sz w:val="12"/>
              </w:rPr>
              <w:t>SERAX CONSULTING, S.L.</w:t>
            </w:r>
          </w:p>
        </w:tc>
        <w:tc>
          <w:tcPr>
            <w:tcW w:w="1984" w:type="dxa"/>
          </w:tcPr>
          <w:p>
            <w:pPr>
              <w:pStyle w:val="TableParagraph"/>
              <w:spacing w:before="71"/>
              <w:ind w:left="193" w:right="174"/>
              <w:rPr>
                <w:sz w:val="11"/>
              </w:rPr>
            </w:pPr>
            <w:r>
              <w:rPr>
                <w:sz w:val="11"/>
              </w:rPr>
              <w:t>Seguridad Alimentaria (APPCC)</w:t>
            </w:r>
          </w:p>
        </w:tc>
        <w:tc>
          <w:tcPr>
            <w:tcW w:w="1418" w:type="dxa"/>
          </w:tcPr>
          <w:p>
            <w:pPr>
              <w:pStyle w:val="TableParagraph"/>
              <w:spacing w:before="71"/>
              <w:ind w:left="151" w:right="133"/>
              <w:rPr>
                <w:sz w:val="11"/>
              </w:rPr>
            </w:pPr>
            <w:r>
              <w:rPr>
                <w:sz w:val="11"/>
              </w:rPr>
              <w:t>La Casita/ Ruiseñores</w:t>
            </w:r>
          </w:p>
        </w:tc>
        <w:tc>
          <w:tcPr>
            <w:tcW w:w="782" w:type="dxa"/>
          </w:tcPr>
          <w:p>
            <w:pPr>
              <w:pStyle w:val="TableParagraph"/>
              <w:spacing w:before="71"/>
              <w:ind w:left="97" w:right="83"/>
              <w:rPr>
                <w:sz w:val="11"/>
              </w:rPr>
            </w:pPr>
            <w:r>
              <w:rPr>
                <w:sz w:val="11"/>
              </w:rPr>
              <w:t>08/04/2025</w:t>
            </w:r>
          </w:p>
        </w:tc>
        <w:tc>
          <w:tcPr>
            <w:tcW w:w="1392" w:type="dxa"/>
          </w:tcPr>
          <w:p>
            <w:pPr>
              <w:pStyle w:val="TableParagraph"/>
              <w:spacing w:before="71"/>
              <w:ind w:left="247" w:right="232"/>
              <w:rPr>
                <w:sz w:val="11"/>
              </w:rPr>
            </w:pPr>
            <w:r>
              <w:rPr>
                <w:sz w:val="11"/>
              </w:rPr>
              <w:t>1.273,25 €</w:t>
            </w:r>
          </w:p>
        </w:tc>
      </w:tr>
      <w:tr>
        <w:trPr>
          <w:trHeight w:val="273" w:hRule="atLeast"/>
        </w:trPr>
        <w:tc>
          <w:tcPr>
            <w:tcW w:w="991" w:type="dxa"/>
          </w:tcPr>
          <w:p>
            <w:pPr>
              <w:pStyle w:val="TableParagraph"/>
              <w:spacing w:before="67"/>
              <w:ind w:left="262" w:right="251"/>
              <w:rPr>
                <w:sz w:val="12"/>
              </w:rPr>
            </w:pPr>
            <w:r>
              <w:rPr>
                <w:sz w:val="12"/>
              </w:rPr>
              <w:t>Servicio</w:t>
            </w:r>
          </w:p>
        </w:tc>
        <w:tc>
          <w:tcPr>
            <w:tcW w:w="1413" w:type="dxa"/>
          </w:tcPr>
          <w:p>
            <w:pPr>
              <w:pStyle w:val="TableParagraph"/>
              <w:spacing w:before="67"/>
              <w:ind w:left="151" w:right="137"/>
              <w:rPr>
                <w:sz w:val="12"/>
              </w:rPr>
            </w:pPr>
            <w:r>
              <w:rPr>
                <w:sz w:val="12"/>
              </w:rPr>
              <w:t>Adjudicación directa</w:t>
            </w:r>
          </w:p>
        </w:tc>
        <w:tc>
          <w:tcPr>
            <w:tcW w:w="2267" w:type="dxa"/>
          </w:tcPr>
          <w:p>
            <w:pPr>
              <w:pStyle w:val="TableParagraph"/>
              <w:spacing w:before="67"/>
              <w:ind w:right="406"/>
              <w:jc w:val="right"/>
              <w:rPr>
                <w:sz w:val="12"/>
              </w:rPr>
            </w:pPr>
            <w:r>
              <w:rPr>
                <w:sz w:val="12"/>
              </w:rPr>
              <w:t>EULEN SEGURIDAD, S.L.</w:t>
            </w:r>
          </w:p>
        </w:tc>
        <w:tc>
          <w:tcPr>
            <w:tcW w:w="1984" w:type="dxa"/>
          </w:tcPr>
          <w:p>
            <w:pPr>
              <w:pStyle w:val="TableParagraph"/>
              <w:spacing w:before="72"/>
              <w:ind w:left="191" w:right="174"/>
              <w:rPr>
                <w:sz w:val="11"/>
              </w:rPr>
            </w:pPr>
            <w:r>
              <w:rPr>
                <w:sz w:val="11"/>
              </w:rPr>
              <w:t>Vigilante de Seguridad/Escolta</w:t>
            </w:r>
          </w:p>
        </w:tc>
        <w:tc>
          <w:tcPr>
            <w:tcW w:w="1418" w:type="dxa"/>
          </w:tcPr>
          <w:p>
            <w:pPr>
              <w:pStyle w:val="TableParagraph"/>
              <w:spacing w:before="72"/>
              <w:ind w:left="149" w:right="133"/>
              <w:rPr>
                <w:sz w:val="11"/>
              </w:rPr>
            </w:pPr>
            <w:r>
              <w:rPr>
                <w:sz w:val="11"/>
              </w:rPr>
              <w:t>Encargo Curatela</w:t>
            </w:r>
          </w:p>
        </w:tc>
        <w:tc>
          <w:tcPr>
            <w:tcW w:w="782" w:type="dxa"/>
          </w:tcPr>
          <w:p>
            <w:pPr>
              <w:pStyle w:val="TableParagraph"/>
              <w:spacing w:before="72"/>
              <w:ind w:left="97" w:right="83"/>
              <w:rPr>
                <w:sz w:val="11"/>
              </w:rPr>
            </w:pPr>
            <w:r>
              <w:rPr>
                <w:sz w:val="11"/>
              </w:rPr>
              <w:t>02/05/2025</w:t>
            </w:r>
          </w:p>
        </w:tc>
        <w:tc>
          <w:tcPr>
            <w:tcW w:w="1392" w:type="dxa"/>
          </w:tcPr>
          <w:p>
            <w:pPr>
              <w:pStyle w:val="TableParagraph"/>
              <w:spacing w:before="72"/>
              <w:ind w:left="247" w:right="232"/>
              <w:rPr>
                <w:sz w:val="11"/>
              </w:rPr>
            </w:pPr>
            <w:r>
              <w:rPr>
                <w:sz w:val="11"/>
              </w:rPr>
              <w:t>Menor a 15.000 €</w:t>
            </w:r>
          </w:p>
        </w:tc>
      </w:tr>
      <w:tr>
        <w:trPr>
          <w:trHeight w:val="275" w:hRule="atLeast"/>
        </w:trPr>
        <w:tc>
          <w:tcPr>
            <w:tcW w:w="991" w:type="dxa"/>
          </w:tcPr>
          <w:p>
            <w:pPr>
              <w:pStyle w:val="TableParagraph"/>
              <w:spacing w:before="69"/>
              <w:ind w:left="262" w:right="251"/>
              <w:rPr>
                <w:sz w:val="12"/>
              </w:rPr>
            </w:pPr>
            <w:r>
              <w:rPr>
                <w:sz w:val="12"/>
              </w:rPr>
              <w:t>Servicio</w:t>
            </w:r>
          </w:p>
        </w:tc>
        <w:tc>
          <w:tcPr>
            <w:tcW w:w="1413" w:type="dxa"/>
          </w:tcPr>
          <w:p>
            <w:pPr>
              <w:pStyle w:val="TableParagraph"/>
              <w:spacing w:before="69"/>
              <w:ind w:left="151" w:right="137"/>
              <w:rPr>
                <w:sz w:val="12"/>
              </w:rPr>
            </w:pPr>
            <w:r>
              <w:rPr>
                <w:sz w:val="12"/>
              </w:rPr>
              <w:t>Adjudicación directa</w:t>
            </w:r>
          </w:p>
        </w:tc>
        <w:tc>
          <w:tcPr>
            <w:tcW w:w="2267" w:type="dxa"/>
          </w:tcPr>
          <w:p>
            <w:pPr>
              <w:pStyle w:val="TableParagraph"/>
              <w:spacing w:line="136" w:lineRule="exact" w:before="4"/>
              <w:ind w:left="665" w:right="313" w:hanging="315"/>
              <w:jc w:val="left"/>
              <w:rPr>
                <w:sz w:val="12"/>
              </w:rPr>
            </w:pPr>
            <w:r>
              <w:rPr>
                <w:sz w:val="12"/>
              </w:rPr>
              <w:t>ALFREDO JAVIER CAMPOS MONTESDEOCA</w:t>
            </w:r>
          </w:p>
        </w:tc>
        <w:tc>
          <w:tcPr>
            <w:tcW w:w="1984" w:type="dxa"/>
          </w:tcPr>
          <w:p>
            <w:pPr>
              <w:pStyle w:val="TableParagraph"/>
              <w:spacing w:line="120" w:lineRule="atLeast" w:before="9"/>
              <w:ind w:left="635" w:right="234" w:hanging="365"/>
              <w:jc w:val="left"/>
              <w:rPr>
                <w:sz w:val="11"/>
              </w:rPr>
            </w:pPr>
            <w:r>
              <w:rPr>
                <w:sz w:val="11"/>
              </w:rPr>
              <w:t>Asesoramiento farmacológico individualizado</w:t>
            </w:r>
          </w:p>
        </w:tc>
        <w:tc>
          <w:tcPr>
            <w:tcW w:w="1418" w:type="dxa"/>
          </w:tcPr>
          <w:p>
            <w:pPr>
              <w:pStyle w:val="TableParagraph"/>
              <w:spacing w:before="74"/>
              <w:ind w:left="254"/>
              <w:jc w:val="left"/>
              <w:rPr>
                <w:sz w:val="11"/>
              </w:rPr>
            </w:pPr>
            <w:r>
              <w:rPr>
                <w:sz w:val="11"/>
              </w:rPr>
              <w:t>C. Hermano Pedro</w:t>
            </w:r>
          </w:p>
        </w:tc>
        <w:tc>
          <w:tcPr>
            <w:tcW w:w="782" w:type="dxa"/>
          </w:tcPr>
          <w:p>
            <w:pPr>
              <w:pStyle w:val="TableParagraph"/>
              <w:spacing w:before="74"/>
              <w:ind w:left="97" w:right="83"/>
              <w:rPr>
                <w:sz w:val="11"/>
              </w:rPr>
            </w:pPr>
            <w:r>
              <w:rPr>
                <w:sz w:val="11"/>
              </w:rPr>
              <w:t>12/06/2025</w:t>
            </w:r>
          </w:p>
        </w:tc>
        <w:tc>
          <w:tcPr>
            <w:tcW w:w="1392" w:type="dxa"/>
          </w:tcPr>
          <w:p>
            <w:pPr>
              <w:pStyle w:val="TableParagraph"/>
              <w:spacing w:before="74"/>
              <w:ind w:left="247" w:right="232"/>
              <w:rPr>
                <w:sz w:val="11"/>
              </w:rPr>
            </w:pPr>
            <w:r>
              <w:rPr>
                <w:sz w:val="11"/>
              </w:rPr>
              <w:t>Menor a 15.000 €</w:t>
            </w:r>
          </w:p>
        </w:tc>
      </w:tr>
      <w:tr>
        <w:trPr>
          <w:trHeight w:val="270" w:hRule="atLeast"/>
        </w:trPr>
        <w:tc>
          <w:tcPr>
            <w:tcW w:w="991" w:type="dxa"/>
          </w:tcPr>
          <w:p>
            <w:pPr>
              <w:pStyle w:val="TableParagraph"/>
              <w:spacing w:before="67"/>
              <w:ind w:left="262" w:right="251"/>
              <w:rPr>
                <w:sz w:val="12"/>
              </w:rPr>
            </w:pPr>
            <w:r>
              <w:rPr>
                <w:sz w:val="12"/>
              </w:rPr>
              <w:t>Servicio</w:t>
            </w:r>
          </w:p>
        </w:tc>
        <w:tc>
          <w:tcPr>
            <w:tcW w:w="1413" w:type="dxa"/>
          </w:tcPr>
          <w:p>
            <w:pPr>
              <w:pStyle w:val="TableParagraph"/>
              <w:spacing w:before="67"/>
              <w:ind w:left="151" w:right="137"/>
              <w:rPr>
                <w:sz w:val="12"/>
              </w:rPr>
            </w:pPr>
            <w:r>
              <w:rPr>
                <w:sz w:val="12"/>
              </w:rPr>
              <w:t>Adjudicación directa</w:t>
            </w:r>
          </w:p>
        </w:tc>
        <w:tc>
          <w:tcPr>
            <w:tcW w:w="2267" w:type="dxa"/>
          </w:tcPr>
          <w:p>
            <w:pPr>
              <w:pStyle w:val="TableParagraph"/>
              <w:spacing w:before="67"/>
              <w:ind w:right="455"/>
              <w:jc w:val="right"/>
              <w:rPr>
                <w:sz w:val="12"/>
              </w:rPr>
            </w:pPr>
            <w:r>
              <w:rPr>
                <w:sz w:val="12"/>
              </w:rPr>
              <w:t>ORANGE ESPAÑA, S.A.</w:t>
            </w:r>
          </w:p>
        </w:tc>
        <w:tc>
          <w:tcPr>
            <w:tcW w:w="1984" w:type="dxa"/>
          </w:tcPr>
          <w:p>
            <w:pPr>
              <w:pStyle w:val="TableParagraph"/>
              <w:spacing w:before="71"/>
              <w:ind w:left="193" w:right="174"/>
              <w:rPr>
                <w:sz w:val="11"/>
              </w:rPr>
            </w:pPr>
            <w:r>
              <w:rPr>
                <w:sz w:val="11"/>
              </w:rPr>
              <w:t>Líneas de Telefonía</w:t>
            </w:r>
          </w:p>
        </w:tc>
        <w:tc>
          <w:tcPr>
            <w:tcW w:w="1418" w:type="dxa"/>
          </w:tcPr>
          <w:p>
            <w:pPr>
              <w:pStyle w:val="TableParagraph"/>
              <w:spacing w:before="71"/>
              <w:ind w:left="151" w:right="132"/>
              <w:rPr>
                <w:sz w:val="11"/>
              </w:rPr>
            </w:pPr>
            <w:r>
              <w:rPr>
                <w:sz w:val="11"/>
              </w:rPr>
              <w:t>FuCAS</w:t>
            </w:r>
          </w:p>
        </w:tc>
        <w:tc>
          <w:tcPr>
            <w:tcW w:w="782" w:type="dxa"/>
          </w:tcPr>
          <w:p>
            <w:pPr>
              <w:pStyle w:val="TableParagraph"/>
              <w:spacing w:before="71"/>
              <w:ind w:left="97" w:right="83"/>
              <w:rPr>
                <w:sz w:val="11"/>
              </w:rPr>
            </w:pPr>
            <w:r>
              <w:rPr>
                <w:sz w:val="11"/>
              </w:rPr>
              <w:t>18/09/2025</w:t>
            </w:r>
          </w:p>
        </w:tc>
        <w:tc>
          <w:tcPr>
            <w:tcW w:w="1392" w:type="dxa"/>
          </w:tcPr>
          <w:p>
            <w:pPr>
              <w:pStyle w:val="TableParagraph"/>
              <w:spacing w:before="71"/>
              <w:ind w:left="247" w:right="232"/>
              <w:rPr>
                <w:sz w:val="11"/>
              </w:rPr>
            </w:pPr>
            <w:r>
              <w:rPr>
                <w:sz w:val="11"/>
              </w:rPr>
              <w:t>Menor a 15.000 €</w:t>
            </w:r>
          </w:p>
        </w:tc>
      </w:tr>
      <w:tr>
        <w:trPr>
          <w:trHeight w:val="277" w:hRule="atLeast"/>
        </w:trPr>
        <w:tc>
          <w:tcPr>
            <w:tcW w:w="991" w:type="dxa"/>
          </w:tcPr>
          <w:p>
            <w:pPr>
              <w:pStyle w:val="TableParagraph"/>
              <w:spacing w:before="69"/>
              <w:ind w:left="262" w:right="251"/>
              <w:rPr>
                <w:sz w:val="12"/>
              </w:rPr>
            </w:pPr>
            <w:r>
              <w:rPr>
                <w:sz w:val="12"/>
              </w:rPr>
              <w:t>Servicio</w:t>
            </w:r>
          </w:p>
        </w:tc>
        <w:tc>
          <w:tcPr>
            <w:tcW w:w="1413" w:type="dxa"/>
          </w:tcPr>
          <w:p>
            <w:pPr>
              <w:pStyle w:val="TableParagraph"/>
              <w:spacing w:before="69"/>
              <w:ind w:left="151" w:right="137"/>
              <w:rPr>
                <w:sz w:val="12"/>
              </w:rPr>
            </w:pPr>
            <w:r>
              <w:rPr>
                <w:sz w:val="12"/>
              </w:rPr>
              <w:t>Adjudicación directa</w:t>
            </w:r>
          </w:p>
        </w:tc>
        <w:tc>
          <w:tcPr>
            <w:tcW w:w="2267" w:type="dxa"/>
          </w:tcPr>
          <w:p>
            <w:pPr>
              <w:pStyle w:val="TableParagraph"/>
              <w:spacing w:line="136" w:lineRule="exact" w:before="6"/>
              <w:ind w:left="528" w:right="83" w:hanging="408"/>
              <w:jc w:val="left"/>
              <w:rPr>
                <w:sz w:val="12"/>
              </w:rPr>
            </w:pPr>
            <w:r>
              <w:rPr>
                <w:sz w:val="12"/>
              </w:rPr>
              <w:t>SOCIEDAD ESTATAL DE CORREOS Y TELEGRAFOS, S.A.</w:t>
            </w:r>
          </w:p>
        </w:tc>
        <w:tc>
          <w:tcPr>
            <w:tcW w:w="1984" w:type="dxa"/>
          </w:tcPr>
          <w:p>
            <w:pPr>
              <w:pStyle w:val="TableParagraph"/>
              <w:spacing w:before="74"/>
              <w:ind w:left="193" w:right="172"/>
              <w:rPr>
                <w:sz w:val="11"/>
              </w:rPr>
            </w:pPr>
            <w:r>
              <w:rPr>
                <w:sz w:val="11"/>
              </w:rPr>
              <w:t>Servicios postales</w:t>
            </w:r>
          </w:p>
        </w:tc>
        <w:tc>
          <w:tcPr>
            <w:tcW w:w="1418" w:type="dxa"/>
          </w:tcPr>
          <w:p>
            <w:pPr>
              <w:pStyle w:val="TableParagraph"/>
              <w:spacing w:line="120" w:lineRule="atLeast" w:before="12"/>
              <w:ind w:left="458" w:right="279" w:hanging="144"/>
              <w:jc w:val="left"/>
              <w:rPr>
                <w:sz w:val="11"/>
              </w:rPr>
            </w:pPr>
            <w:r>
              <w:rPr>
                <w:sz w:val="11"/>
              </w:rPr>
              <w:t>Encargo Familia Numerosa</w:t>
            </w:r>
          </w:p>
        </w:tc>
        <w:tc>
          <w:tcPr>
            <w:tcW w:w="782" w:type="dxa"/>
          </w:tcPr>
          <w:p>
            <w:pPr>
              <w:pStyle w:val="TableParagraph"/>
              <w:spacing w:before="74"/>
              <w:ind w:left="97" w:right="83"/>
              <w:rPr>
                <w:sz w:val="11"/>
              </w:rPr>
            </w:pPr>
            <w:r>
              <w:rPr>
                <w:sz w:val="11"/>
              </w:rPr>
              <w:t>13/10/2025</w:t>
            </w:r>
          </w:p>
        </w:tc>
        <w:tc>
          <w:tcPr>
            <w:tcW w:w="1392" w:type="dxa"/>
          </w:tcPr>
          <w:p>
            <w:pPr>
              <w:pStyle w:val="TableParagraph"/>
              <w:spacing w:before="74"/>
              <w:ind w:left="247" w:right="232"/>
              <w:rPr>
                <w:sz w:val="11"/>
              </w:rPr>
            </w:pPr>
            <w:r>
              <w:rPr>
                <w:sz w:val="11"/>
              </w:rPr>
              <w:t>Menor a 15.000 €</w:t>
            </w:r>
          </w:p>
        </w:tc>
      </w:tr>
    </w:tbl>
    <w:p>
      <w:pPr>
        <w:pStyle w:val="BodyText"/>
        <w:rPr>
          <w:sz w:val="20"/>
        </w:rPr>
      </w:pPr>
    </w:p>
    <w:p>
      <w:pPr>
        <w:pStyle w:val="BodyText"/>
        <w:spacing w:before="9"/>
      </w:pPr>
    </w:p>
    <w:p>
      <w:pPr>
        <w:pStyle w:val="Heading2"/>
        <w:ind w:left="113" w:right="306" w:hanging="1"/>
      </w:pPr>
      <w:r>
        <w:rPr/>
        <w:t>2.- PRÓRROGAS PARA 2026 DE CONTRATOS EN VIGOR EN 2025 Y MODIFICACIONES REALIZADAS EN LOS CONTRATOS EN EL PRESENTE EJERCICIO.</w:t>
      </w:r>
    </w:p>
    <w:p>
      <w:pPr>
        <w:pStyle w:val="BodyText"/>
        <w:spacing w:before="1"/>
        <w:rPr>
          <w:b/>
          <w:sz w:val="20"/>
        </w:rPr>
      </w:pPr>
    </w:p>
    <w:p>
      <w:pPr>
        <w:pStyle w:val="BodyText"/>
        <w:ind w:left="112" w:right="307" w:hanging="1"/>
        <w:jc w:val="both"/>
      </w:pPr>
      <w:r>
        <w:rPr/>
        <w:t>Se ha procedido a la prórroga de los siguientes contratos, para el ejercicio 2026, después del primer trimestre de 2025, y tras los informes favorables a los mismos, emitidos por los responsables de estos servicios:</w:t>
      </w:r>
    </w:p>
    <w:p>
      <w:pPr>
        <w:pStyle w:val="BodyText"/>
      </w:pPr>
    </w:p>
    <w:p>
      <w:pPr>
        <w:pStyle w:val="BodyText"/>
        <w:ind w:left="112" w:right="304"/>
        <w:jc w:val="both"/>
      </w:pPr>
      <w:r>
        <w:rPr/>
        <w:t>1.- Servicio de Servicio de Transporte Habitual Con Acompañante y el Transporte de Actividades de Integración Social y Coordinación</w:t>
      </w:r>
      <w:r>
        <w:rPr>
          <w:spacing w:val="-7"/>
        </w:rPr>
        <w:t> </w:t>
      </w:r>
      <w:r>
        <w:rPr/>
        <w:t>con</w:t>
      </w:r>
      <w:r>
        <w:rPr>
          <w:spacing w:val="-7"/>
        </w:rPr>
        <w:t> </w:t>
      </w:r>
      <w:r>
        <w:rPr/>
        <w:t>el</w:t>
      </w:r>
      <w:r>
        <w:rPr>
          <w:spacing w:val="-5"/>
        </w:rPr>
        <w:t> </w:t>
      </w:r>
      <w:r>
        <w:rPr/>
        <w:t>Entorno,</w:t>
      </w:r>
      <w:r>
        <w:rPr>
          <w:spacing w:val="-7"/>
        </w:rPr>
        <w:t> </w:t>
      </w:r>
      <w:r>
        <w:rPr/>
        <w:t>del</w:t>
      </w:r>
      <w:r>
        <w:rPr>
          <w:spacing w:val="-6"/>
        </w:rPr>
        <w:t> </w:t>
      </w:r>
      <w:r>
        <w:rPr/>
        <w:t>Centro</w:t>
      </w:r>
      <w:r>
        <w:rPr>
          <w:spacing w:val="-6"/>
        </w:rPr>
        <w:t> </w:t>
      </w:r>
      <w:r>
        <w:rPr/>
        <w:t>de</w:t>
      </w:r>
      <w:r>
        <w:rPr>
          <w:spacing w:val="-7"/>
        </w:rPr>
        <w:t> </w:t>
      </w:r>
      <w:r>
        <w:rPr/>
        <w:t>Día</w:t>
      </w:r>
      <w:r>
        <w:rPr>
          <w:spacing w:val="-7"/>
        </w:rPr>
        <w:t> </w:t>
      </w:r>
      <w:r>
        <w:rPr/>
        <w:t>Los</w:t>
      </w:r>
      <w:r>
        <w:rPr>
          <w:spacing w:val="-5"/>
        </w:rPr>
        <w:t> </w:t>
      </w:r>
      <w:r>
        <w:rPr/>
        <w:t>Ruiseñores</w:t>
      </w:r>
      <w:r>
        <w:rPr>
          <w:spacing w:val="-6"/>
        </w:rPr>
        <w:t> </w:t>
      </w:r>
      <w:r>
        <w:rPr/>
        <w:t>de</w:t>
      </w:r>
      <w:r>
        <w:rPr>
          <w:spacing w:val="-7"/>
        </w:rPr>
        <w:t> </w:t>
      </w:r>
      <w:r>
        <w:rPr/>
        <w:t>Atención</w:t>
      </w:r>
      <w:r>
        <w:rPr>
          <w:spacing w:val="-6"/>
        </w:rPr>
        <w:t> </w:t>
      </w:r>
      <w:r>
        <w:rPr/>
        <w:t>a</w:t>
      </w:r>
      <w:r>
        <w:rPr>
          <w:spacing w:val="-10"/>
        </w:rPr>
        <w:t> </w:t>
      </w:r>
      <w:r>
        <w:rPr/>
        <w:t>Personas</w:t>
      </w:r>
      <w:r>
        <w:rPr>
          <w:spacing w:val="-5"/>
        </w:rPr>
        <w:t> </w:t>
      </w:r>
      <w:r>
        <w:rPr/>
        <w:t>en</w:t>
      </w:r>
      <w:r>
        <w:rPr>
          <w:spacing w:val="-7"/>
        </w:rPr>
        <w:t> </w:t>
      </w:r>
      <w:r>
        <w:rPr/>
        <w:t>Situación</w:t>
      </w:r>
      <w:r>
        <w:rPr>
          <w:spacing w:val="-7"/>
        </w:rPr>
        <w:t> </w:t>
      </w:r>
      <w:r>
        <w:rPr/>
        <w:t>de</w:t>
      </w:r>
      <w:r>
        <w:rPr>
          <w:spacing w:val="-6"/>
        </w:rPr>
        <w:t> </w:t>
      </w:r>
      <w:r>
        <w:rPr/>
        <w:t>Dependencia</w:t>
      </w:r>
      <w:r>
        <w:rPr>
          <w:spacing w:val="-7"/>
        </w:rPr>
        <w:t> </w:t>
      </w:r>
      <w:r>
        <w:rPr/>
        <w:t>por Discapacidad Física (Gran Canaria) de FuCAS, con la empresa, GERARDO LUCAS CUBAS MATEO, en fecha de 8 de abril de 2025, tras informe favorable del responsable del contrato, por un nuevo periodo de 12 meses y en los mismos términos establecidos en el contrato original, por importe de 206.340,28 € (Igic</w:t>
      </w:r>
      <w:r>
        <w:rPr>
          <w:spacing w:val="-1"/>
        </w:rPr>
        <w:t> </w:t>
      </w:r>
      <w:r>
        <w:rPr/>
        <w:t>incluido).</w:t>
      </w:r>
    </w:p>
    <w:p>
      <w:pPr>
        <w:pStyle w:val="BodyText"/>
      </w:pPr>
    </w:p>
    <w:p>
      <w:pPr>
        <w:pStyle w:val="BodyText"/>
        <w:ind w:left="112" w:right="304"/>
        <w:jc w:val="both"/>
      </w:pPr>
      <w:r>
        <w:rPr/>
        <w:t>2.-</w:t>
      </w:r>
      <w:r>
        <w:rPr>
          <w:spacing w:val="-5"/>
        </w:rPr>
        <w:t> </w:t>
      </w:r>
      <w:r>
        <w:rPr/>
        <w:t>Suministro</w:t>
      </w:r>
      <w:r>
        <w:rPr>
          <w:spacing w:val="-4"/>
        </w:rPr>
        <w:t> </w:t>
      </w:r>
      <w:r>
        <w:rPr/>
        <w:t>de</w:t>
      </w:r>
      <w:r>
        <w:rPr>
          <w:spacing w:val="-4"/>
        </w:rPr>
        <w:t> </w:t>
      </w:r>
      <w:r>
        <w:rPr/>
        <w:t>Material</w:t>
      </w:r>
      <w:r>
        <w:rPr>
          <w:spacing w:val="-2"/>
        </w:rPr>
        <w:t> </w:t>
      </w:r>
      <w:r>
        <w:rPr/>
        <w:t>de</w:t>
      </w:r>
      <w:r>
        <w:rPr>
          <w:spacing w:val="-1"/>
        </w:rPr>
        <w:t> </w:t>
      </w:r>
      <w:r>
        <w:rPr/>
        <w:t>Oficina</w:t>
      </w:r>
      <w:r>
        <w:rPr>
          <w:spacing w:val="-4"/>
        </w:rPr>
        <w:t> </w:t>
      </w:r>
      <w:r>
        <w:rPr/>
        <w:t>y</w:t>
      </w:r>
      <w:r>
        <w:rPr>
          <w:spacing w:val="-2"/>
        </w:rPr>
        <w:t> </w:t>
      </w:r>
      <w:r>
        <w:rPr/>
        <w:t>Fungibles</w:t>
      </w:r>
      <w:r>
        <w:rPr>
          <w:spacing w:val="-3"/>
        </w:rPr>
        <w:t> </w:t>
      </w:r>
      <w:r>
        <w:rPr/>
        <w:t>de</w:t>
      </w:r>
      <w:r>
        <w:rPr>
          <w:spacing w:val="-4"/>
        </w:rPr>
        <w:t> </w:t>
      </w:r>
      <w:r>
        <w:rPr/>
        <w:t>los</w:t>
      </w:r>
      <w:r>
        <w:rPr>
          <w:spacing w:val="-2"/>
        </w:rPr>
        <w:t> </w:t>
      </w:r>
      <w:r>
        <w:rPr/>
        <w:t>Centros</w:t>
      </w:r>
      <w:r>
        <w:rPr>
          <w:spacing w:val="-3"/>
        </w:rPr>
        <w:t> </w:t>
      </w:r>
      <w:r>
        <w:rPr/>
        <w:t>en</w:t>
      </w:r>
      <w:r>
        <w:rPr>
          <w:spacing w:val="-4"/>
        </w:rPr>
        <w:t> </w:t>
      </w:r>
      <w:r>
        <w:rPr/>
        <w:t>Gran Canaria</w:t>
      </w:r>
      <w:r>
        <w:rPr>
          <w:spacing w:val="-4"/>
        </w:rPr>
        <w:t> </w:t>
      </w:r>
      <w:r>
        <w:rPr/>
        <w:t>de</w:t>
      </w:r>
      <w:r>
        <w:rPr>
          <w:spacing w:val="-4"/>
        </w:rPr>
        <w:t> </w:t>
      </w:r>
      <w:r>
        <w:rPr/>
        <w:t>la</w:t>
      </w:r>
      <w:r>
        <w:rPr>
          <w:spacing w:val="-1"/>
        </w:rPr>
        <w:t> </w:t>
      </w:r>
      <w:r>
        <w:rPr/>
        <w:t>Fundación</w:t>
      </w:r>
      <w:r>
        <w:rPr>
          <w:spacing w:val="-3"/>
        </w:rPr>
        <w:t> </w:t>
      </w:r>
      <w:r>
        <w:rPr/>
        <w:t>Tutelar</w:t>
      </w:r>
      <w:r>
        <w:rPr>
          <w:spacing w:val="-2"/>
        </w:rPr>
        <w:t> </w:t>
      </w:r>
      <w:r>
        <w:rPr/>
        <w:t>Canaria</w:t>
      </w:r>
      <w:r>
        <w:rPr>
          <w:spacing w:val="-4"/>
        </w:rPr>
        <w:t> </w:t>
      </w:r>
      <w:r>
        <w:rPr/>
        <w:t>para</w:t>
      </w:r>
      <w:r>
        <w:rPr>
          <w:spacing w:val="-3"/>
        </w:rPr>
        <w:t> </w:t>
      </w:r>
      <w:r>
        <w:rPr/>
        <w:t>la Acción Social, M.P., con la empresa DIMATECA, S.L., en fecha de 14 de abril de 2025, tras informe favorable del responsable</w:t>
      </w:r>
      <w:r>
        <w:rPr>
          <w:spacing w:val="-10"/>
        </w:rPr>
        <w:t> </w:t>
      </w:r>
      <w:r>
        <w:rPr/>
        <w:t>del</w:t>
      </w:r>
      <w:r>
        <w:rPr>
          <w:spacing w:val="-10"/>
        </w:rPr>
        <w:t> </w:t>
      </w:r>
      <w:r>
        <w:rPr/>
        <w:t>contrato,</w:t>
      </w:r>
      <w:r>
        <w:rPr>
          <w:spacing w:val="-9"/>
        </w:rPr>
        <w:t> </w:t>
      </w:r>
      <w:r>
        <w:rPr/>
        <w:t>por</w:t>
      </w:r>
      <w:r>
        <w:rPr>
          <w:spacing w:val="-10"/>
        </w:rPr>
        <w:t> </w:t>
      </w:r>
      <w:r>
        <w:rPr/>
        <w:t>un</w:t>
      </w:r>
      <w:r>
        <w:rPr>
          <w:spacing w:val="-9"/>
        </w:rPr>
        <w:t> </w:t>
      </w:r>
      <w:r>
        <w:rPr/>
        <w:t>nuevo</w:t>
      </w:r>
      <w:r>
        <w:rPr>
          <w:spacing w:val="-9"/>
        </w:rPr>
        <w:t> </w:t>
      </w:r>
      <w:r>
        <w:rPr/>
        <w:t>periodo</w:t>
      </w:r>
      <w:r>
        <w:rPr>
          <w:spacing w:val="-10"/>
        </w:rPr>
        <w:t> </w:t>
      </w:r>
      <w:r>
        <w:rPr/>
        <w:t>de</w:t>
      </w:r>
      <w:r>
        <w:rPr>
          <w:spacing w:val="-8"/>
        </w:rPr>
        <w:t> </w:t>
      </w:r>
      <w:r>
        <w:rPr/>
        <w:t>24</w:t>
      </w:r>
      <w:r>
        <w:rPr>
          <w:spacing w:val="-10"/>
        </w:rPr>
        <w:t> </w:t>
      </w:r>
      <w:r>
        <w:rPr/>
        <w:t>meses</w:t>
      </w:r>
      <w:r>
        <w:rPr>
          <w:spacing w:val="-8"/>
        </w:rPr>
        <w:t> </w:t>
      </w:r>
      <w:r>
        <w:rPr/>
        <w:t>y</w:t>
      </w:r>
      <w:r>
        <w:rPr>
          <w:spacing w:val="-7"/>
        </w:rPr>
        <w:t> </w:t>
      </w:r>
      <w:r>
        <w:rPr/>
        <w:t>en</w:t>
      </w:r>
      <w:r>
        <w:rPr>
          <w:spacing w:val="-12"/>
        </w:rPr>
        <w:t> </w:t>
      </w:r>
      <w:r>
        <w:rPr/>
        <w:t>los</w:t>
      </w:r>
      <w:r>
        <w:rPr>
          <w:spacing w:val="-8"/>
        </w:rPr>
        <w:t> </w:t>
      </w:r>
      <w:r>
        <w:rPr/>
        <w:t>mismos</w:t>
      </w:r>
      <w:r>
        <w:rPr>
          <w:spacing w:val="-7"/>
        </w:rPr>
        <w:t> </w:t>
      </w:r>
      <w:r>
        <w:rPr/>
        <w:t>términos</w:t>
      </w:r>
      <w:r>
        <w:rPr>
          <w:spacing w:val="-11"/>
        </w:rPr>
        <w:t> </w:t>
      </w:r>
      <w:r>
        <w:rPr/>
        <w:t>establecidos</w:t>
      </w:r>
      <w:r>
        <w:rPr>
          <w:spacing w:val="-8"/>
        </w:rPr>
        <w:t> </w:t>
      </w:r>
      <w:r>
        <w:rPr/>
        <w:t>en</w:t>
      </w:r>
      <w:r>
        <w:rPr>
          <w:spacing w:val="-9"/>
        </w:rPr>
        <w:t> </w:t>
      </w:r>
      <w:r>
        <w:rPr/>
        <w:t>el</w:t>
      </w:r>
      <w:r>
        <w:rPr>
          <w:spacing w:val="-9"/>
        </w:rPr>
        <w:t> </w:t>
      </w:r>
      <w:r>
        <w:rPr/>
        <w:t>contrato</w:t>
      </w:r>
      <w:r>
        <w:rPr>
          <w:spacing w:val="-9"/>
        </w:rPr>
        <w:t> </w:t>
      </w:r>
      <w:r>
        <w:rPr/>
        <w:t>original, por un presupuesto máximo de 68.309,74 € (Igic</w:t>
      </w:r>
      <w:r>
        <w:rPr>
          <w:spacing w:val="-4"/>
        </w:rPr>
        <w:t> </w:t>
      </w:r>
      <w:r>
        <w:rPr/>
        <w:t>incluido).</w:t>
      </w:r>
    </w:p>
    <w:p>
      <w:pPr>
        <w:pStyle w:val="BodyText"/>
        <w:spacing w:before="11"/>
        <w:rPr>
          <w:sz w:val="18"/>
        </w:rPr>
      </w:pPr>
    </w:p>
    <w:p>
      <w:pPr>
        <w:pStyle w:val="BodyText"/>
        <w:ind w:left="112" w:right="304"/>
        <w:jc w:val="both"/>
      </w:pPr>
      <w:r>
        <w:rPr/>
        <w:t>3.-</w:t>
      </w:r>
      <w:r>
        <w:rPr>
          <w:spacing w:val="-6"/>
        </w:rPr>
        <w:t> </w:t>
      </w:r>
      <w:r>
        <w:rPr/>
        <w:t>Servicio</w:t>
      </w:r>
      <w:r>
        <w:rPr>
          <w:spacing w:val="-4"/>
        </w:rPr>
        <w:t> </w:t>
      </w:r>
      <w:r>
        <w:rPr/>
        <w:t>de</w:t>
      </w:r>
      <w:r>
        <w:rPr>
          <w:spacing w:val="-5"/>
        </w:rPr>
        <w:t> </w:t>
      </w:r>
      <w:r>
        <w:rPr/>
        <w:t>Integración</w:t>
      </w:r>
      <w:r>
        <w:rPr>
          <w:spacing w:val="-4"/>
        </w:rPr>
        <w:t> </w:t>
      </w:r>
      <w:r>
        <w:rPr/>
        <w:t>Social</w:t>
      </w:r>
      <w:r>
        <w:rPr>
          <w:spacing w:val="-4"/>
        </w:rPr>
        <w:t> </w:t>
      </w:r>
      <w:r>
        <w:rPr/>
        <w:t>de</w:t>
      </w:r>
      <w:r>
        <w:rPr>
          <w:spacing w:val="-4"/>
        </w:rPr>
        <w:t> </w:t>
      </w:r>
      <w:r>
        <w:rPr/>
        <w:t>Usuarios</w:t>
      </w:r>
      <w:r>
        <w:rPr>
          <w:spacing w:val="-4"/>
        </w:rPr>
        <w:t> </w:t>
      </w:r>
      <w:r>
        <w:rPr/>
        <w:t>del</w:t>
      </w:r>
      <w:r>
        <w:rPr>
          <w:spacing w:val="-3"/>
        </w:rPr>
        <w:t> </w:t>
      </w:r>
      <w:r>
        <w:rPr/>
        <w:t>Programa</w:t>
      </w:r>
      <w:r>
        <w:rPr>
          <w:spacing w:val="-5"/>
        </w:rPr>
        <w:t> </w:t>
      </w:r>
      <w:r>
        <w:rPr/>
        <w:t>de</w:t>
      </w:r>
      <w:r>
        <w:rPr>
          <w:spacing w:val="-4"/>
        </w:rPr>
        <w:t> </w:t>
      </w:r>
      <w:r>
        <w:rPr/>
        <w:t>Gestión</w:t>
      </w:r>
      <w:r>
        <w:rPr>
          <w:spacing w:val="-5"/>
        </w:rPr>
        <w:t> </w:t>
      </w:r>
      <w:r>
        <w:rPr/>
        <w:t>de</w:t>
      </w:r>
      <w:r>
        <w:rPr>
          <w:spacing w:val="-4"/>
        </w:rPr>
        <w:t> </w:t>
      </w:r>
      <w:r>
        <w:rPr/>
        <w:t>Medidas</w:t>
      </w:r>
      <w:r>
        <w:rPr>
          <w:spacing w:val="-6"/>
        </w:rPr>
        <w:t> </w:t>
      </w:r>
      <w:r>
        <w:rPr/>
        <w:t>de</w:t>
      </w:r>
      <w:r>
        <w:rPr>
          <w:spacing w:val="-4"/>
        </w:rPr>
        <w:t> </w:t>
      </w:r>
      <w:r>
        <w:rPr/>
        <w:t>Apoyo</w:t>
      </w:r>
      <w:r>
        <w:rPr>
          <w:spacing w:val="-5"/>
        </w:rPr>
        <w:t> </w:t>
      </w:r>
      <w:r>
        <w:rPr/>
        <w:t>a</w:t>
      </w:r>
      <w:r>
        <w:rPr>
          <w:spacing w:val="-4"/>
        </w:rPr>
        <w:t> </w:t>
      </w:r>
      <w:r>
        <w:rPr/>
        <w:t>Personas</w:t>
      </w:r>
      <w:r>
        <w:rPr>
          <w:spacing w:val="-5"/>
        </w:rPr>
        <w:t> </w:t>
      </w:r>
      <w:r>
        <w:rPr/>
        <w:t>Curateladas</w:t>
      </w:r>
      <w:r>
        <w:rPr>
          <w:spacing w:val="-4"/>
        </w:rPr>
        <w:t> </w:t>
      </w:r>
      <w:r>
        <w:rPr/>
        <w:t>de la Fundación Tutelar Canaria para la Acción Social, MP, con la empresa INSERCIÓN CANARIA, S.L., en fecha de 10 de octubre</w:t>
      </w:r>
      <w:r>
        <w:rPr>
          <w:spacing w:val="-12"/>
        </w:rPr>
        <w:t> </w:t>
      </w:r>
      <w:r>
        <w:rPr/>
        <w:t>de</w:t>
      </w:r>
      <w:r>
        <w:rPr>
          <w:spacing w:val="-11"/>
        </w:rPr>
        <w:t> </w:t>
      </w:r>
      <w:r>
        <w:rPr/>
        <w:t>2025,</w:t>
      </w:r>
      <w:r>
        <w:rPr>
          <w:spacing w:val="-11"/>
        </w:rPr>
        <w:t> </w:t>
      </w:r>
      <w:r>
        <w:rPr/>
        <w:t>tras</w:t>
      </w:r>
      <w:r>
        <w:rPr>
          <w:spacing w:val="-13"/>
        </w:rPr>
        <w:t> </w:t>
      </w:r>
      <w:r>
        <w:rPr/>
        <w:t>informe</w:t>
      </w:r>
      <w:r>
        <w:rPr>
          <w:spacing w:val="-11"/>
        </w:rPr>
        <w:t> </w:t>
      </w:r>
      <w:r>
        <w:rPr/>
        <w:t>favorable</w:t>
      </w:r>
      <w:r>
        <w:rPr>
          <w:spacing w:val="-11"/>
        </w:rPr>
        <w:t> </w:t>
      </w:r>
      <w:r>
        <w:rPr/>
        <w:t>del</w:t>
      </w:r>
      <w:r>
        <w:rPr>
          <w:spacing w:val="-13"/>
        </w:rPr>
        <w:t> </w:t>
      </w:r>
      <w:r>
        <w:rPr/>
        <w:t>responsable</w:t>
      </w:r>
      <w:r>
        <w:rPr>
          <w:spacing w:val="-13"/>
        </w:rPr>
        <w:t> </w:t>
      </w:r>
      <w:r>
        <w:rPr/>
        <w:t>del</w:t>
      </w:r>
      <w:r>
        <w:rPr>
          <w:spacing w:val="-10"/>
        </w:rPr>
        <w:t> </w:t>
      </w:r>
      <w:r>
        <w:rPr/>
        <w:t>contrato,</w:t>
      </w:r>
      <w:r>
        <w:rPr>
          <w:spacing w:val="-11"/>
        </w:rPr>
        <w:t> </w:t>
      </w:r>
      <w:r>
        <w:rPr/>
        <w:t>por</w:t>
      </w:r>
      <w:r>
        <w:rPr>
          <w:spacing w:val="-13"/>
        </w:rPr>
        <w:t> </w:t>
      </w:r>
      <w:r>
        <w:rPr/>
        <w:t>un</w:t>
      </w:r>
      <w:r>
        <w:rPr>
          <w:spacing w:val="-11"/>
        </w:rPr>
        <w:t> </w:t>
      </w:r>
      <w:r>
        <w:rPr/>
        <w:t>nuevo</w:t>
      </w:r>
      <w:r>
        <w:rPr>
          <w:spacing w:val="-11"/>
        </w:rPr>
        <w:t> </w:t>
      </w:r>
      <w:r>
        <w:rPr/>
        <w:t>periodo</w:t>
      </w:r>
      <w:r>
        <w:rPr>
          <w:spacing w:val="-12"/>
        </w:rPr>
        <w:t> </w:t>
      </w:r>
      <w:r>
        <w:rPr/>
        <w:t>de</w:t>
      </w:r>
      <w:r>
        <w:rPr>
          <w:spacing w:val="-11"/>
        </w:rPr>
        <w:t> </w:t>
      </w:r>
      <w:r>
        <w:rPr/>
        <w:t>doce</w:t>
      </w:r>
      <w:r>
        <w:rPr>
          <w:spacing w:val="-11"/>
        </w:rPr>
        <w:t> </w:t>
      </w:r>
      <w:r>
        <w:rPr/>
        <w:t>meses</w:t>
      </w:r>
      <w:r>
        <w:rPr>
          <w:spacing w:val="-12"/>
        </w:rPr>
        <w:t> </w:t>
      </w:r>
      <w:r>
        <w:rPr/>
        <w:t>y</w:t>
      </w:r>
      <w:r>
        <w:rPr>
          <w:spacing w:val="-11"/>
        </w:rPr>
        <w:t> </w:t>
      </w:r>
      <w:r>
        <w:rPr/>
        <w:t>en</w:t>
      </w:r>
      <w:r>
        <w:rPr>
          <w:spacing w:val="-13"/>
        </w:rPr>
        <w:t> </w:t>
      </w:r>
      <w:r>
        <w:rPr/>
        <w:t>los</w:t>
      </w:r>
      <w:r>
        <w:rPr>
          <w:spacing w:val="-12"/>
        </w:rPr>
        <w:t> </w:t>
      </w:r>
      <w:r>
        <w:rPr/>
        <w:t>mismos términos establecidos en el contrato original, por importe de 559.754,04 € exento de</w:t>
      </w:r>
      <w:r>
        <w:rPr>
          <w:spacing w:val="-1"/>
        </w:rPr>
        <w:t> </w:t>
      </w:r>
      <w:r>
        <w:rPr/>
        <w:t>Igic.</w:t>
      </w:r>
    </w:p>
    <w:p>
      <w:pPr>
        <w:pStyle w:val="BodyText"/>
        <w:spacing w:before="2"/>
      </w:pPr>
    </w:p>
    <w:p>
      <w:pPr>
        <w:pStyle w:val="BodyText"/>
        <w:ind w:left="112" w:right="305"/>
        <w:jc w:val="both"/>
      </w:pPr>
      <w:r>
        <w:rPr/>
        <w:t>4.- Servicio de Catering de Usuarios del Programa de Gestión de Medidas de Apoyo a Personas Curateladas en Gran Canaria de la Fundación Tutelar Canaria para la Acción Social, MP, con la empresa, PASCATICE, S.L., en fecha de 10 octubre</w:t>
      </w:r>
      <w:r>
        <w:rPr>
          <w:spacing w:val="-12"/>
        </w:rPr>
        <w:t> </w:t>
      </w:r>
      <w:r>
        <w:rPr/>
        <w:t>de</w:t>
      </w:r>
      <w:r>
        <w:rPr>
          <w:spacing w:val="-11"/>
        </w:rPr>
        <w:t> </w:t>
      </w:r>
      <w:r>
        <w:rPr/>
        <w:t>2025,</w:t>
      </w:r>
      <w:r>
        <w:rPr>
          <w:spacing w:val="-11"/>
        </w:rPr>
        <w:t> </w:t>
      </w:r>
      <w:r>
        <w:rPr/>
        <w:t>tras</w:t>
      </w:r>
      <w:r>
        <w:rPr>
          <w:spacing w:val="-13"/>
        </w:rPr>
        <w:t> </w:t>
      </w:r>
      <w:r>
        <w:rPr/>
        <w:t>informe</w:t>
      </w:r>
      <w:r>
        <w:rPr>
          <w:spacing w:val="-11"/>
        </w:rPr>
        <w:t> </w:t>
      </w:r>
      <w:r>
        <w:rPr/>
        <w:t>favorable</w:t>
      </w:r>
      <w:r>
        <w:rPr>
          <w:spacing w:val="-11"/>
        </w:rPr>
        <w:t> </w:t>
      </w:r>
      <w:r>
        <w:rPr/>
        <w:t>del</w:t>
      </w:r>
      <w:r>
        <w:rPr>
          <w:spacing w:val="-13"/>
        </w:rPr>
        <w:t> </w:t>
      </w:r>
      <w:r>
        <w:rPr/>
        <w:t>responsable</w:t>
      </w:r>
      <w:r>
        <w:rPr>
          <w:spacing w:val="-13"/>
        </w:rPr>
        <w:t> </w:t>
      </w:r>
      <w:r>
        <w:rPr/>
        <w:t>del</w:t>
      </w:r>
      <w:r>
        <w:rPr>
          <w:spacing w:val="-10"/>
        </w:rPr>
        <w:t> </w:t>
      </w:r>
      <w:r>
        <w:rPr/>
        <w:t>contrato,</w:t>
      </w:r>
      <w:r>
        <w:rPr>
          <w:spacing w:val="-11"/>
        </w:rPr>
        <w:t> </w:t>
      </w:r>
      <w:r>
        <w:rPr/>
        <w:t>por</w:t>
      </w:r>
      <w:r>
        <w:rPr>
          <w:spacing w:val="-13"/>
        </w:rPr>
        <w:t> </w:t>
      </w:r>
      <w:r>
        <w:rPr/>
        <w:t>un</w:t>
      </w:r>
      <w:r>
        <w:rPr>
          <w:spacing w:val="-11"/>
        </w:rPr>
        <w:t> </w:t>
      </w:r>
      <w:r>
        <w:rPr/>
        <w:t>nuevo</w:t>
      </w:r>
      <w:r>
        <w:rPr>
          <w:spacing w:val="-11"/>
        </w:rPr>
        <w:t> </w:t>
      </w:r>
      <w:r>
        <w:rPr/>
        <w:t>periodo</w:t>
      </w:r>
      <w:r>
        <w:rPr>
          <w:spacing w:val="-12"/>
        </w:rPr>
        <w:t> </w:t>
      </w:r>
      <w:r>
        <w:rPr/>
        <w:t>de</w:t>
      </w:r>
      <w:r>
        <w:rPr>
          <w:spacing w:val="-11"/>
        </w:rPr>
        <w:t> </w:t>
      </w:r>
      <w:r>
        <w:rPr/>
        <w:t>doce</w:t>
      </w:r>
      <w:r>
        <w:rPr>
          <w:spacing w:val="-11"/>
        </w:rPr>
        <w:t> </w:t>
      </w:r>
      <w:r>
        <w:rPr/>
        <w:t>meses</w:t>
      </w:r>
      <w:r>
        <w:rPr>
          <w:spacing w:val="-12"/>
        </w:rPr>
        <w:t> </w:t>
      </w:r>
      <w:r>
        <w:rPr/>
        <w:t>y</w:t>
      </w:r>
      <w:r>
        <w:rPr>
          <w:spacing w:val="-11"/>
        </w:rPr>
        <w:t> </w:t>
      </w:r>
      <w:r>
        <w:rPr/>
        <w:t>en</w:t>
      </w:r>
      <w:r>
        <w:rPr>
          <w:spacing w:val="-13"/>
        </w:rPr>
        <w:t> </w:t>
      </w:r>
      <w:r>
        <w:rPr/>
        <w:t>los</w:t>
      </w:r>
      <w:r>
        <w:rPr>
          <w:spacing w:val="-12"/>
        </w:rPr>
        <w:t> </w:t>
      </w:r>
      <w:r>
        <w:rPr/>
        <w:t>mismos términos establecidos en el contrato original, por un presupuesto máximo de 75.010,36 € con Igic</w:t>
      </w:r>
      <w:r>
        <w:rPr>
          <w:spacing w:val="-9"/>
        </w:rPr>
        <w:t> </w:t>
      </w:r>
      <w:r>
        <w:rPr/>
        <w:t>incluido.</w:t>
      </w:r>
    </w:p>
    <w:p>
      <w:pPr>
        <w:pStyle w:val="BodyText"/>
      </w:pPr>
    </w:p>
    <w:p>
      <w:pPr>
        <w:pStyle w:val="BodyText"/>
        <w:ind w:left="112" w:right="304"/>
        <w:jc w:val="both"/>
      </w:pPr>
      <w:r>
        <w:rPr/>
        <w:t>5.- Servicio de Alimentación del Servicio Residencial y Centro de Día para Personas Dependientes por Discapacidad Intelectual del Centro de Adultos Hermano Pedro de la Fundación Tutelar Canaria para la Acción Social, MP, con la empresa ARAMARK SERVICIOS DE CATERING, S.L.U., en fecha de 27 de octubre de 2025, tras informe favorable del responsable del contrato, por un nuevo periodo de seis meses y en los mismos términos establecidos en el contrato original, por un presupuesto máximo de 53.651,94 de € Igic incluido.</w:t>
      </w:r>
    </w:p>
    <w:p>
      <w:pPr>
        <w:pStyle w:val="BodyText"/>
        <w:spacing w:before="11"/>
        <w:rPr>
          <w:sz w:val="18"/>
        </w:rPr>
      </w:pPr>
    </w:p>
    <w:p>
      <w:pPr>
        <w:pStyle w:val="BodyText"/>
        <w:ind w:left="111" w:right="304"/>
        <w:jc w:val="both"/>
      </w:pPr>
      <w:r>
        <w:rPr/>
        <w:t>6.-</w:t>
      </w:r>
      <w:r>
        <w:rPr>
          <w:spacing w:val="-3"/>
        </w:rPr>
        <w:t> </w:t>
      </w:r>
      <w:r>
        <w:rPr/>
        <w:t>Servicio</w:t>
      </w:r>
      <w:r>
        <w:rPr>
          <w:spacing w:val="-4"/>
        </w:rPr>
        <w:t> </w:t>
      </w:r>
      <w:r>
        <w:rPr/>
        <w:t>de</w:t>
      </w:r>
      <w:r>
        <w:rPr>
          <w:spacing w:val="-2"/>
        </w:rPr>
        <w:t> </w:t>
      </w:r>
      <w:r>
        <w:rPr/>
        <w:t>Limpieza</w:t>
      </w:r>
      <w:r>
        <w:rPr>
          <w:spacing w:val="-4"/>
        </w:rPr>
        <w:t> </w:t>
      </w:r>
      <w:r>
        <w:rPr/>
        <w:t>del</w:t>
      </w:r>
      <w:r>
        <w:rPr>
          <w:spacing w:val="-4"/>
        </w:rPr>
        <w:t> </w:t>
      </w:r>
      <w:r>
        <w:rPr/>
        <w:t>Centro</w:t>
      </w:r>
      <w:r>
        <w:rPr>
          <w:spacing w:val="-1"/>
        </w:rPr>
        <w:t> </w:t>
      </w:r>
      <w:r>
        <w:rPr/>
        <w:t>de</w:t>
      </w:r>
      <w:r>
        <w:rPr>
          <w:spacing w:val="-2"/>
        </w:rPr>
        <w:t> </w:t>
      </w:r>
      <w:r>
        <w:rPr/>
        <w:t>Día</w:t>
      </w:r>
      <w:r>
        <w:rPr>
          <w:spacing w:val="-1"/>
        </w:rPr>
        <w:t> </w:t>
      </w:r>
      <w:r>
        <w:rPr/>
        <w:t>de</w:t>
      </w:r>
      <w:r>
        <w:rPr>
          <w:spacing w:val="-2"/>
        </w:rPr>
        <w:t> </w:t>
      </w:r>
      <w:r>
        <w:rPr/>
        <w:t>personas</w:t>
      </w:r>
      <w:r>
        <w:rPr>
          <w:spacing w:val="-3"/>
        </w:rPr>
        <w:t> </w:t>
      </w:r>
      <w:r>
        <w:rPr/>
        <w:t>mayores</w:t>
      </w:r>
      <w:r>
        <w:rPr>
          <w:spacing w:val="-1"/>
        </w:rPr>
        <w:t> </w:t>
      </w:r>
      <w:r>
        <w:rPr/>
        <w:t>de</w:t>
      </w:r>
      <w:r>
        <w:rPr>
          <w:spacing w:val="-1"/>
        </w:rPr>
        <w:t> </w:t>
      </w:r>
      <w:r>
        <w:rPr/>
        <w:t>Marzagan</w:t>
      </w:r>
      <w:r>
        <w:rPr>
          <w:spacing w:val="-4"/>
        </w:rPr>
        <w:t> </w:t>
      </w:r>
      <w:r>
        <w:rPr/>
        <w:t>y</w:t>
      </w:r>
      <w:r>
        <w:rPr>
          <w:spacing w:val="-1"/>
        </w:rPr>
        <w:t> </w:t>
      </w:r>
      <w:r>
        <w:rPr/>
        <w:t>oficina</w:t>
      </w:r>
      <w:r>
        <w:rPr>
          <w:spacing w:val="-1"/>
        </w:rPr>
        <w:t> </w:t>
      </w:r>
      <w:r>
        <w:rPr/>
        <w:t>en</w:t>
      </w:r>
      <w:r>
        <w:rPr>
          <w:spacing w:val="-2"/>
        </w:rPr>
        <w:t> </w:t>
      </w:r>
      <w:r>
        <w:rPr/>
        <w:t>Gran</w:t>
      </w:r>
      <w:r>
        <w:rPr>
          <w:spacing w:val="-1"/>
        </w:rPr>
        <w:t> </w:t>
      </w:r>
      <w:r>
        <w:rPr/>
        <w:t>Canaria</w:t>
      </w:r>
      <w:r>
        <w:rPr>
          <w:spacing w:val="-2"/>
        </w:rPr>
        <w:t> </w:t>
      </w:r>
      <w:r>
        <w:rPr/>
        <w:t>de</w:t>
      </w:r>
      <w:r>
        <w:rPr>
          <w:spacing w:val="-1"/>
        </w:rPr>
        <w:t> </w:t>
      </w:r>
      <w:r>
        <w:rPr/>
        <w:t>la</w:t>
      </w:r>
      <w:r>
        <w:rPr>
          <w:spacing w:val="-2"/>
        </w:rPr>
        <w:t> </w:t>
      </w:r>
      <w:r>
        <w:rPr/>
        <w:t>Fundación Tutelar Canaria para la Acción Social, MP, prórroga forzosa, al estar así contemplado en el pliego de condiciones particulares, al quedar desierta la licitación para cubrir este servicio, como se expuso al final del primer punto de este Informe, hasta que se haya formalizado nuevo contrato, por un máximo de 9 meses, de fecha 27 de octubre de 2025, y en los mismos términos establecidos en el contrato original, por presupuesto máximo por importe de 20.624,99 € más el Igic que le corresponda.</w:t>
      </w:r>
    </w:p>
    <w:p>
      <w:pPr>
        <w:pStyle w:val="BodyText"/>
        <w:spacing w:before="11"/>
        <w:rPr>
          <w:sz w:val="18"/>
        </w:rPr>
      </w:pPr>
    </w:p>
    <w:p>
      <w:pPr>
        <w:pStyle w:val="BodyText"/>
        <w:ind w:left="111" w:right="305"/>
        <w:jc w:val="both"/>
      </w:pPr>
      <w:r>
        <w:rPr/>
        <w:t>Desde el último informe emitido de marzo y hasta la fecha del presente informe, se ha procedido a modificar mediante adenda los siguientes contratos:</w:t>
      </w:r>
    </w:p>
    <w:p>
      <w:pPr>
        <w:pStyle w:val="BodyText"/>
      </w:pPr>
    </w:p>
    <w:p>
      <w:pPr>
        <w:pStyle w:val="BodyText"/>
        <w:ind w:left="111" w:right="308"/>
        <w:jc w:val="both"/>
      </w:pPr>
      <w:r>
        <w:rPr/>
        <w:t>1.- Servicio de Telecomunicaciones, Consistentes En: Telefonía Fija, Fibra, Acceso A Internet, Telefonía Móvil, Servicios De Centralita Virtual, Servicios Red Wifi, Con Controladora Y Mensajería Instantánea de la Fundación Tutelar Canaria para La Acción Social, M.P., con la empresa UTE TELEFONICA DE ESPAÑA SAU – TELEFONICA MOVILES SAU, en</w:t>
      </w:r>
    </w:p>
    <w:p>
      <w:pPr>
        <w:pStyle w:val="BodyText"/>
        <w:spacing w:before="10"/>
        <w:rPr>
          <w:sz w:val="20"/>
        </w:rPr>
      </w:pPr>
    </w:p>
    <w:p>
      <w:pPr>
        <w:pStyle w:val="Heading1"/>
      </w:pPr>
      <w:r>
        <w:rPr>
          <w:color w:val="4471C4"/>
          <w:w w:val="100"/>
        </w:rPr>
        <w:t>4</w:t>
      </w:r>
    </w:p>
    <w:p>
      <w:pPr>
        <w:spacing w:after="0"/>
        <w:sectPr>
          <w:pgSz w:w="11910" w:h="16840"/>
          <w:pgMar w:top="1580" w:bottom="280" w:left="1020" w:right="260"/>
        </w:sectPr>
      </w:pPr>
    </w:p>
    <w:p>
      <w:pPr>
        <w:pStyle w:val="BodyText"/>
        <w:rPr>
          <w:rFonts w:ascii="Calibri"/>
          <w:sz w:val="20"/>
        </w:rPr>
      </w:pPr>
      <w:r>
        <w:rPr/>
        <w:drawing>
          <wp:anchor distT="0" distB="0" distL="0" distR="0" allowOverlap="1" layoutInCell="1" locked="0" behindDoc="1" simplePos="0" relativeHeight="251040768">
            <wp:simplePos x="0" y="0"/>
            <wp:positionH relativeFrom="page">
              <wp:posOffset>0</wp:posOffset>
            </wp:positionH>
            <wp:positionV relativeFrom="page">
              <wp:posOffset>635</wp:posOffset>
            </wp:positionV>
            <wp:extent cx="7558405" cy="10691748"/>
            <wp:effectExtent l="0" t="0" r="0" b="0"/>
            <wp:wrapNone/>
            <wp:docPr id="9" name="image1.png"/>
            <wp:cNvGraphicFramePr>
              <a:graphicFrameLocks noChangeAspect="1"/>
            </wp:cNvGraphicFramePr>
            <a:graphic>
              <a:graphicData uri="http://schemas.openxmlformats.org/drawingml/2006/picture">
                <pic:pic>
                  <pic:nvPicPr>
                    <pic:cNvPr id="10" name="image1.png"/>
                    <pic:cNvPicPr/>
                  </pic:nvPicPr>
                  <pic:blipFill>
                    <a:blip r:embed="rId5" cstate="print"/>
                    <a:stretch>
                      <a:fillRect/>
                    </a:stretch>
                  </pic:blipFill>
                  <pic:spPr>
                    <a:xfrm>
                      <a:off x="0" y="0"/>
                      <a:ext cx="7558405" cy="10691748"/>
                    </a:xfrm>
                    <a:prstGeom prst="rect">
                      <a:avLst/>
                    </a:prstGeom>
                  </pic:spPr>
                </pic:pic>
              </a:graphicData>
            </a:graphic>
          </wp:anchor>
        </w:drawing>
      </w:r>
    </w:p>
    <w:p>
      <w:pPr>
        <w:pStyle w:val="BodyText"/>
        <w:rPr>
          <w:rFonts w:ascii="Calibri"/>
          <w:sz w:val="20"/>
        </w:rPr>
      </w:pPr>
    </w:p>
    <w:p>
      <w:pPr>
        <w:pStyle w:val="BodyText"/>
        <w:rPr>
          <w:rFonts w:ascii="Calibri"/>
          <w:sz w:val="25"/>
        </w:rPr>
      </w:pPr>
    </w:p>
    <w:p>
      <w:pPr>
        <w:pStyle w:val="BodyText"/>
        <w:spacing w:before="94"/>
        <w:ind w:left="112" w:right="305"/>
        <w:jc w:val="both"/>
      </w:pPr>
      <w:r>
        <w:rPr/>
        <w:t>fecha de 1 de julio del 2025, debido al fuerte incremento no previsto en Gran Canaria del programa de la Fundación, de Gestión de Medidas de Apoyo a Personas Curateladas, por el incremento en el número de usuarios a los que se</w:t>
      </w:r>
      <w:r>
        <w:rPr>
          <w:spacing w:val="-29"/>
        </w:rPr>
        <w:t> </w:t>
      </w:r>
      <w:r>
        <w:rPr/>
        <w:t>atiende, que ha provocado, la necesidad, de contratar nuevo personal, y por tanto, de dotar a este personal de nuevas líneas móviles, además de la necesidad de nuevas antenas WIFI para poder mejorar nuestro servicio de redes inalámbricas en el</w:t>
      </w:r>
      <w:r>
        <w:rPr>
          <w:spacing w:val="-10"/>
        </w:rPr>
        <w:t> </w:t>
      </w:r>
      <w:r>
        <w:rPr/>
        <w:t>Colegio</w:t>
      </w:r>
      <w:r>
        <w:rPr>
          <w:spacing w:val="-11"/>
        </w:rPr>
        <w:t> </w:t>
      </w:r>
      <w:r>
        <w:rPr/>
        <w:t>Privado</w:t>
      </w:r>
      <w:r>
        <w:rPr>
          <w:spacing w:val="-11"/>
        </w:rPr>
        <w:t> </w:t>
      </w:r>
      <w:r>
        <w:rPr/>
        <w:t>Concertado</w:t>
      </w:r>
      <w:r>
        <w:rPr>
          <w:spacing w:val="-10"/>
        </w:rPr>
        <w:t> </w:t>
      </w:r>
      <w:r>
        <w:rPr/>
        <w:t>de</w:t>
      </w:r>
      <w:r>
        <w:rPr>
          <w:spacing w:val="-11"/>
        </w:rPr>
        <w:t> </w:t>
      </w:r>
      <w:r>
        <w:rPr/>
        <w:t>Educación</w:t>
      </w:r>
      <w:r>
        <w:rPr>
          <w:spacing w:val="-11"/>
        </w:rPr>
        <w:t> </w:t>
      </w:r>
      <w:r>
        <w:rPr/>
        <w:t>Especial</w:t>
      </w:r>
      <w:r>
        <w:rPr>
          <w:spacing w:val="-10"/>
        </w:rPr>
        <w:t> </w:t>
      </w:r>
      <w:r>
        <w:rPr/>
        <w:t>de</w:t>
      </w:r>
      <w:r>
        <w:rPr>
          <w:spacing w:val="-12"/>
        </w:rPr>
        <w:t> </w:t>
      </w:r>
      <w:r>
        <w:rPr/>
        <w:t>La</w:t>
      </w:r>
      <w:r>
        <w:rPr>
          <w:spacing w:val="-11"/>
        </w:rPr>
        <w:t> </w:t>
      </w:r>
      <w:r>
        <w:rPr/>
        <w:t>Casita,</w:t>
      </w:r>
      <w:r>
        <w:rPr>
          <w:spacing w:val="-11"/>
        </w:rPr>
        <w:t> </w:t>
      </w:r>
      <w:r>
        <w:rPr/>
        <w:t>de</w:t>
      </w:r>
      <w:r>
        <w:rPr>
          <w:spacing w:val="-11"/>
        </w:rPr>
        <w:t> </w:t>
      </w:r>
      <w:r>
        <w:rPr/>
        <w:t>la</w:t>
      </w:r>
      <w:r>
        <w:rPr>
          <w:spacing w:val="-10"/>
        </w:rPr>
        <w:t> </w:t>
      </w:r>
      <w:r>
        <w:rPr/>
        <w:t>Fundación</w:t>
      </w:r>
      <w:r>
        <w:rPr>
          <w:spacing w:val="-11"/>
        </w:rPr>
        <w:t> </w:t>
      </w:r>
      <w:r>
        <w:rPr/>
        <w:t>Tutelar</w:t>
      </w:r>
      <w:r>
        <w:rPr>
          <w:spacing w:val="-12"/>
        </w:rPr>
        <w:t> </w:t>
      </w:r>
      <w:r>
        <w:rPr/>
        <w:t>Canaria</w:t>
      </w:r>
      <w:r>
        <w:rPr>
          <w:spacing w:val="-11"/>
        </w:rPr>
        <w:t> </w:t>
      </w:r>
      <w:r>
        <w:rPr/>
        <w:t>para</w:t>
      </w:r>
      <w:r>
        <w:rPr>
          <w:spacing w:val="-10"/>
        </w:rPr>
        <w:t> </w:t>
      </w:r>
      <w:r>
        <w:rPr/>
        <w:t>la</w:t>
      </w:r>
      <w:r>
        <w:rPr>
          <w:spacing w:val="-11"/>
        </w:rPr>
        <w:t> </w:t>
      </w:r>
      <w:r>
        <w:rPr/>
        <w:t>Acción</w:t>
      </w:r>
      <w:r>
        <w:rPr>
          <w:spacing w:val="-11"/>
        </w:rPr>
        <w:t> </w:t>
      </w:r>
      <w:r>
        <w:rPr/>
        <w:t>Social, M.P., no previsto inicialmente cuando se licitó el contrato, ampliando el mismo, con los siguientes equipos de comunicación:</w:t>
      </w:r>
    </w:p>
    <w:p>
      <w:pPr>
        <w:pStyle w:val="BodyText"/>
        <w:spacing w:line="218" w:lineRule="exact"/>
        <w:ind w:left="112"/>
      </w:pPr>
      <w:r>
        <w:rPr>
          <w:u w:val="single"/>
        </w:rPr>
        <w:t>Dotación:</w:t>
      </w:r>
    </w:p>
    <w:p>
      <w:pPr>
        <w:pStyle w:val="BodyText"/>
        <w:spacing w:before="9"/>
        <w:rPr>
          <w:sz w:val="10"/>
        </w:rPr>
      </w:pPr>
    </w:p>
    <w:p>
      <w:pPr>
        <w:pStyle w:val="ListParagraph"/>
        <w:numPr>
          <w:ilvl w:val="0"/>
          <w:numId w:val="2"/>
        </w:numPr>
        <w:tabs>
          <w:tab w:pos="885" w:val="left" w:leader="none"/>
          <w:tab w:pos="886" w:val="left" w:leader="none"/>
        </w:tabs>
        <w:spacing w:line="240" w:lineRule="auto" w:before="94" w:after="0"/>
        <w:ind w:left="885" w:right="0" w:hanging="414"/>
        <w:jc w:val="left"/>
        <w:rPr>
          <w:rFonts w:ascii="Arial" w:hAnsi="Arial"/>
          <w:sz w:val="19"/>
        </w:rPr>
      </w:pPr>
      <w:r>
        <w:rPr>
          <w:rFonts w:ascii="Arial" w:hAnsi="Arial"/>
          <w:sz w:val="19"/>
        </w:rPr>
        <w:t>7 ANTENAS WIFI PROFESIONAL (con cableado, instalación, configuración y</w:t>
      </w:r>
      <w:r>
        <w:rPr>
          <w:rFonts w:ascii="Arial" w:hAnsi="Arial"/>
          <w:spacing w:val="-4"/>
          <w:sz w:val="19"/>
        </w:rPr>
        <w:t> </w:t>
      </w:r>
      <w:r>
        <w:rPr>
          <w:rFonts w:ascii="Arial" w:hAnsi="Arial"/>
          <w:sz w:val="19"/>
        </w:rPr>
        <w:t>mantenimiento).</w:t>
      </w:r>
    </w:p>
    <w:p>
      <w:pPr>
        <w:pStyle w:val="ListParagraph"/>
        <w:numPr>
          <w:ilvl w:val="0"/>
          <w:numId w:val="2"/>
        </w:numPr>
        <w:tabs>
          <w:tab w:pos="833" w:val="left" w:leader="none"/>
        </w:tabs>
        <w:spacing w:line="240" w:lineRule="auto" w:before="0" w:after="0"/>
        <w:ind w:left="832" w:right="0" w:hanging="361"/>
        <w:jc w:val="left"/>
        <w:rPr>
          <w:rFonts w:ascii="Arial" w:hAnsi="Arial"/>
          <w:sz w:val="19"/>
        </w:rPr>
      </w:pPr>
      <w:r>
        <w:rPr>
          <w:rFonts w:ascii="Arial" w:hAnsi="Arial"/>
          <w:sz w:val="19"/>
        </w:rPr>
        <w:t>22 LÍNEAS MÓVILES TARIFA SUPERIOR CORP (Voz e internet</w:t>
      </w:r>
      <w:r>
        <w:rPr>
          <w:rFonts w:ascii="Arial" w:hAnsi="Arial"/>
          <w:spacing w:val="-2"/>
          <w:sz w:val="19"/>
        </w:rPr>
        <w:t> </w:t>
      </w:r>
      <w:r>
        <w:rPr>
          <w:rFonts w:ascii="Arial" w:hAnsi="Arial"/>
          <w:sz w:val="19"/>
        </w:rPr>
        <w:t>ilimitado).</w:t>
      </w:r>
    </w:p>
    <w:p>
      <w:pPr>
        <w:pStyle w:val="BodyText"/>
        <w:rPr>
          <w:sz w:val="20"/>
        </w:rPr>
      </w:pPr>
    </w:p>
    <w:p>
      <w:pPr>
        <w:pStyle w:val="BodyText"/>
        <w:spacing w:before="11"/>
        <w:rPr>
          <w:sz w:val="17"/>
        </w:rPr>
      </w:pPr>
    </w:p>
    <w:p>
      <w:pPr>
        <w:pStyle w:val="BodyText"/>
        <w:ind w:left="112"/>
      </w:pPr>
      <w:r>
        <w:rPr/>
        <w:t>La contratación vigente se está ejecutando sin ningún tipo de incidencias a mencionar.</w:t>
      </w:r>
    </w:p>
    <w:p>
      <w:pPr>
        <w:pStyle w:val="BodyText"/>
        <w:spacing w:before="2"/>
      </w:pPr>
    </w:p>
    <w:p>
      <w:pPr>
        <w:pStyle w:val="BodyText"/>
        <w:spacing w:line="259" w:lineRule="auto"/>
        <w:ind w:left="112"/>
      </w:pPr>
      <w:r>
        <w:rPr/>
        <w:t>Los Contratos de estos servicios se encuentran archivados en un espacio digital de la Fundación, por lo que están a su disposición para cualquier aclaración o ampliación de la información.</w:t>
      </w:r>
    </w:p>
    <w:p>
      <w:pPr>
        <w:pStyle w:val="BodyText"/>
        <w:rPr>
          <w:sz w:val="20"/>
        </w:rPr>
      </w:pPr>
    </w:p>
    <w:p>
      <w:pPr>
        <w:pStyle w:val="BodyText"/>
        <w:rPr>
          <w:sz w:val="20"/>
        </w:rPr>
      </w:pPr>
    </w:p>
    <w:p>
      <w:pPr>
        <w:pStyle w:val="BodyText"/>
        <w:spacing w:before="137"/>
        <w:ind w:left="112"/>
      </w:pPr>
      <w:r>
        <w:rPr/>
        <w:t>Las Palmas de Gran Canaria, a 20 de noviembre de 2025</w:t>
      </w:r>
    </w:p>
    <w:p>
      <w:pPr>
        <w:spacing w:line="211" w:lineRule="auto" w:before="71"/>
        <w:ind w:left="100" w:right="5383" w:firstLine="0"/>
        <w:jc w:val="left"/>
        <w:rPr>
          <w:rFonts w:ascii="Courier New" w:hAnsi="Courier New"/>
          <w:sz w:val="24"/>
        </w:rPr>
      </w:pPr>
      <w:r>
        <w:rPr>
          <w:rFonts w:ascii="Courier New" w:hAnsi="Courier New"/>
          <w:sz w:val="24"/>
        </w:rPr>
        <w:t>Firmado por ***4909** INMACULADA ESTHER DIAZ (R: ****0583*) el </w:t>
      </w:r>
      <w:r>
        <w:rPr>
          <w:rFonts w:ascii="Courier New" w:hAnsi="Courier New"/>
          <w:spacing w:val="-6"/>
          <w:sz w:val="24"/>
        </w:rPr>
        <w:t>día </w:t>
      </w:r>
      <w:r>
        <w:rPr>
          <w:rFonts w:ascii="Courier New" w:hAnsi="Courier New"/>
          <w:sz w:val="24"/>
        </w:rPr>
        <w:t>20/11/2025 con un certificado </w:t>
      </w:r>
      <w:r>
        <w:rPr>
          <w:rFonts w:ascii="Courier New" w:hAnsi="Courier New"/>
          <w:spacing w:val="-132"/>
          <w:sz w:val="24"/>
        </w:rPr>
        <w:t>e</w:t>
      </w:r>
      <w:r>
        <w:rPr>
          <w:w w:val="99"/>
          <w:position w:val="-7"/>
          <w:sz w:val="19"/>
        </w:rPr>
        <w:t>I</w:t>
      </w:r>
      <w:r>
        <w:rPr>
          <w:spacing w:val="-27"/>
          <w:w w:val="99"/>
          <w:position w:val="-7"/>
          <w:sz w:val="19"/>
        </w:rPr>
        <w:t>n</w:t>
      </w:r>
      <w:r>
        <w:rPr>
          <w:rFonts w:ascii="Courier New" w:hAnsi="Courier New"/>
          <w:spacing w:val="-118"/>
          <w:sz w:val="24"/>
        </w:rPr>
        <w:t>m</w:t>
      </w:r>
      <w:r>
        <w:rPr>
          <w:spacing w:val="-41"/>
          <w:w w:val="99"/>
          <w:position w:val="-7"/>
          <w:sz w:val="19"/>
        </w:rPr>
        <w:t>m</w:t>
      </w:r>
      <w:r>
        <w:rPr>
          <w:rFonts w:ascii="Courier New" w:hAnsi="Courier New"/>
          <w:spacing w:val="-103"/>
          <w:sz w:val="24"/>
        </w:rPr>
        <w:t>i</w:t>
      </w:r>
      <w:r>
        <w:rPr>
          <w:spacing w:val="-3"/>
          <w:w w:val="99"/>
          <w:position w:val="-7"/>
          <w:sz w:val="19"/>
        </w:rPr>
        <w:t>a</w:t>
      </w:r>
      <w:r>
        <w:rPr>
          <w:rFonts w:ascii="Courier New" w:hAnsi="Courier New"/>
          <w:spacing w:val="-142"/>
          <w:sz w:val="24"/>
        </w:rPr>
        <w:t>t</w:t>
      </w:r>
      <w:r>
        <w:rPr>
          <w:spacing w:val="1"/>
          <w:w w:val="99"/>
          <w:position w:val="-7"/>
          <w:sz w:val="19"/>
        </w:rPr>
        <w:t>c</w:t>
      </w:r>
      <w:r>
        <w:rPr>
          <w:spacing w:val="-61"/>
          <w:w w:val="99"/>
          <w:position w:val="-7"/>
          <w:sz w:val="19"/>
        </w:rPr>
        <w:t>u</w:t>
      </w:r>
      <w:r>
        <w:rPr>
          <w:rFonts w:ascii="Courier New" w:hAnsi="Courier New"/>
          <w:spacing w:val="-84"/>
          <w:sz w:val="24"/>
        </w:rPr>
        <w:t>i</w:t>
      </w:r>
      <w:r>
        <w:rPr>
          <w:spacing w:val="1"/>
          <w:w w:val="99"/>
          <w:position w:val="-7"/>
          <w:sz w:val="19"/>
        </w:rPr>
        <w:t>l</w:t>
      </w:r>
      <w:r>
        <w:rPr>
          <w:spacing w:val="-66"/>
          <w:w w:val="99"/>
          <w:position w:val="-7"/>
          <w:sz w:val="19"/>
        </w:rPr>
        <w:t>a</w:t>
      </w:r>
      <w:r>
        <w:rPr>
          <w:rFonts w:ascii="Courier New" w:hAnsi="Courier New"/>
          <w:spacing w:val="-79"/>
          <w:sz w:val="24"/>
        </w:rPr>
        <w:t>d</w:t>
      </w:r>
      <w:r>
        <w:rPr>
          <w:spacing w:val="-27"/>
          <w:w w:val="99"/>
          <w:position w:val="-7"/>
          <w:sz w:val="19"/>
        </w:rPr>
        <w:t>d</w:t>
      </w:r>
      <w:r>
        <w:rPr>
          <w:rFonts w:ascii="Courier New" w:hAnsi="Courier New"/>
          <w:spacing w:val="-118"/>
          <w:sz w:val="24"/>
        </w:rPr>
        <w:t>o</w:t>
      </w:r>
      <w:r>
        <w:rPr>
          <w:w w:val="99"/>
          <w:position w:val="-7"/>
          <w:sz w:val="19"/>
        </w:rPr>
        <w:t>a</w:t>
      </w:r>
      <w:r>
        <w:rPr>
          <w:position w:val="-7"/>
          <w:sz w:val="19"/>
        </w:rPr>
        <w:t> </w:t>
      </w:r>
      <w:r>
        <w:rPr>
          <w:spacing w:val="-24"/>
          <w:w w:val="99"/>
          <w:position w:val="-7"/>
          <w:sz w:val="19"/>
        </w:rPr>
        <w:t>E</w:t>
      </w:r>
      <w:r>
        <w:rPr>
          <w:rFonts w:ascii="Courier New" w:hAnsi="Courier New"/>
          <w:spacing w:val="-120"/>
          <w:sz w:val="24"/>
        </w:rPr>
        <w:t>p</w:t>
      </w:r>
      <w:r>
        <w:rPr>
          <w:w w:val="99"/>
          <w:position w:val="-7"/>
          <w:sz w:val="19"/>
        </w:rPr>
        <w:t>.</w:t>
      </w:r>
      <w:r>
        <w:rPr>
          <w:position w:val="-7"/>
          <w:sz w:val="19"/>
        </w:rPr>
        <w:t> </w:t>
      </w:r>
      <w:r>
        <w:rPr>
          <w:spacing w:val="-123"/>
          <w:w w:val="99"/>
          <w:position w:val="-7"/>
          <w:sz w:val="19"/>
        </w:rPr>
        <w:t>D</w:t>
      </w:r>
      <w:r>
        <w:rPr>
          <w:rFonts w:ascii="Courier New" w:hAnsi="Courier New"/>
          <w:spacing w:val="-22"/>
          <w:sz w:val="24"/>
        </w:rPr>
        <w:t>o</w:t>
      </w:r>
      <w:r>
        <w:rPr>
          <w:spacing w:val="-32"/>
          <w:w w:val="99"/>
          <w:position w:val="-7"/>
          <w:sz w:val="19"/>
        </w:rPr>
        <w:t>í</w:t>
      </w:r>
      <w:r>
        <w:rPr>
          <w:rFonts w:ascii="Courier New" w:hAnsi="Courier New"/>
          <w:spacing w:val="-113"/>
          <w:sz w:val="24"/>
        </w:rPr>
        <w:t>r</w:t>
      </w:r>
      <w:r>
        <w:rPr>
          <w:w w:val="99"/>
          <w:position w:val="-7"/>
          <w:sz w:val="19"/>
        </w:rPr>
        <w:t>az</w:t>
      </w:r>
      <w:r>
        <w:rPr>
          <w:position w:val="-7"/>
          <w:sz w:val="19"/>
        </w:rPr>
        <w:t> </w:t>
      </w:r>
      <w:r>
        <w:rPr>
          <w:spacing w:val="-146"/>
          <w:w w:val="99"/>
          <w:position w:val="-7"/>
          <w:sz w:val="19"/>
        </w:rPr>
        <w:t>O</w:t>
      </w:r>
      <w:r>
        <w:rPr>
          <w:rFonts w:ascii="Courier New" w:hAnsi="Courier New"/>
          <w:sz w:val="24"/>
        </w:rPr>
        <w:t>A</w:t>
      </w:r>
      <w:r>
        <w:rPr>
          <w:rFonts w:ascii="Courier New" w:hAnsi="Courier New"/>
          <w:spacing w:val="-144"/>
          <w:sz w:val="24"/>
        </w:rPr>
        <w:t>C</w:t>
      </w:r>
      <w:r>
        <w:rPr>
          <w:spacing w:val="1"/>
          <w:w w:val="99"/>
          <w:position w:val="-7"/>
          <w:sz w:val="19"/>
        </w:rPr>
        <w:t>j</w:t>
      </w:r>
      <w:r>
        <w:rPr>
          <w:w w:val="99"/>
          <w:position w:val="-7"/>
          <w:sz w:val="19"/>
        </w:rPr>
        <w:t>ed</w:t>
      </w:r>
      <w:r>
        <w:rPr>
          <w:spacing w:val="-72"/>
          <w:w w:val="99"/>
          <w:position w:val="-7"/>
          <w:sz w:val="19"/>
        </w:rPr>
        <w:t>a</w:t>
      </w:r>
      <w:r>
        <w:rPr>
          <w:rFonts w:ascii="Courier New" w:hAnsi="Courier New"/>
          <w:sz w:val="24"/>
        </w:rPr>
        <w:t>Representación</w:t>
      </w:r>
    </w:p>
    <w:p>
      <w:pPr>
        <w:pStyle w:val="BodyText"/>
        <w:spacing w:before="16"/>
        <w:ind w:left="112"/>
      </w:pPr>
      <w:r>
        <w:rPr/>
        <w:t>Gerente Fundación Tutelar Canaria para la Acción Social, M.P.</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3"/>
        </w:rPr>
      </w:pPr>
    </w:p>
    <w:p>
      <w:pPr>
        <w:pStyle w:val="Heading1"/>
      </w:pPr>
      <w:r>
        <w:rPr>
          <w:color w:val="4471C4"/>
          <w:w w:val="100"/>
        </w:rPr>
        <w:t>5</w:t>
      </w:r>
    </w:p>
    <w:sectPr>
      <w:pgSz w:w="11910" w:h="16840"/>
      <w:pgMar w:top="1580" w:bottom="280" w:left="1020" w:right="2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ourier New">
    <w:altName w:val="Courier New"/>
    <w:charset w:val="0"/>
    <w:family w:val="modern"/>
    <w:pitch w:val="fixed"/>
  </w:font>
  <w:font w:name="Symbol">
    <w:altName w:val="Symbol"/>
    <w:charset w:val="2"/>
    <w:family w:val="roman"/>
    <w:pitch w:val="variable"/>
  </w:font>
  <w:font w:name="Arial">
    <w:altName w:val="Arial"/>
    <w:charset w:val="0"/>
    <w:family w:val="swiss"/>
    <w:pitch w:val="variable"/>
  </w:font>
  <w:font w:name="Calibri">
    <w:altName w:val="Calibri"/>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1"/>
      <w:numFmt w:val="upperLetter"/>
      <w:lvlText w:val="%1)"/>
      <w:lvlJc w:val="left"/>
      <w:pPr>
        <w:ind w:left="885" w:hanging="413"/>
        <w:jc w:val="left"/>
      </w:pPr>
      <w:rPr>
        <w:rFonts w:hint="default" w:ascii="Arial" w:hAnsi="Arial" w:eastAsia="Arial" w:cs="Arial"/>
        <w:w w:val="99"/>
        <w:sz w:val="19"/>
        <w:szCs w:val="19"/>
        <w:lang w:val="es-ES" w:eastAsia="es-ES" w:bidi="es-ES"/>
      </w:rPr>
    </w:lvl>
    <w:lvl w:ilvl="1">
      <w:start w:val="0"/>
      <w:numFmt w:val="bullet"/>
      <w:lvlText w:val="•"/>
      <w:lvlJc w:val="left"/>
      <w:pPr>
        <w:ind w:left="1854" w:hanging="413"/>
      </w:pPr>
      <w:rPr>
        <w:rFonts w:hint="default"/>
        <w:lang w:val="es-ES" w:eastAsia="es-ES" w:bidi="es-ES"/>
      </w:rPr>
    </w:lvl>
    <w:lvl w:ilvl="2">
      <w:start w:val="0"/>
      <w:numFmt w:val="bullet"/>
      <w:lvlText w:val="•"/>
      <w:lvlJc w:val="left"/>
      <w:pPr>
        <w:ind w:left="2829" w:hanging="413"/>
      </w:pPr>
      <w:rPr>
        <w:rFonts w:hint="default"/>
        <w:lang w:val="es-ES" w:eastAsia="es-ES" w:bidi="es-ES"/>
      </w:rPr>
    </w:lvl>
    <w:lvl w:ilvl="3">
      <w:start w:val="0"/>
      <w:numFmt w:val="bullet"/>
      <w:lvlText w:val="•"/>
      <w:lvlJc w:val="left"/>
      <w:pPr>
        <w:ind w:left="3803" w:hanging="413"/>
      </w:pPr>
      <w:rPr>
        <w:rFonts w:hint="default"/>
        <w:lang w:val="es-ES" w:eastAsia="es-ES" w:bidi="es-ES"/>
      </w:rPr>
    </w:lvl>
    <w:lvl w:ilvl="4">
      <w:start w:val="0"/>
      <w:numFmt w:val="bullet"/>
      <w:lvlText w:val="•"/>
      <w:lvlJc w:val="left"/>
      <w:pPr>
        <w:ind w:left="4778" w:hanging="413"/>
      </w:pPr>
      <w:rPr>
        <w:rFonts w:hint="default"/>
        <w:lang w:val="es-ES" w:eastAsia="es-ES" w:bidi="es-ES"/>
      </w:rPr>
    </w:lvl>
    <w:lvl w:ilvl="5">
      <w:start w:val="0"/>
      <w:numFmt w:val="bullet"/>
      <w:lvlText w:val="•"/>
      <w:lvlJc w:val="left"/>
      <w:pPr>
        <w:ind w:left="5753" w:hanging="413"/>
      </w:pPr>
      <w:rPr>
        <w:rFonts w:hint="default"/>
        <w:lang w:val="es-ES" w:eastAsia="es-ES" w:bidi="es-ES"/>
      </w:rPr>
    </w:lvl>
    <w:lvl w:ilvl="6">
      <w:start w:val="0"/>
      <w:numFmt w:val="bullet"/>
      <w:lvlText w:val="•"/>
      <w:lvlJc w:val="left"/>
      <w:pPr>
        <w:ind w:left="6727" w:hanging="413"/>
      </w:pPr>
      <w:rPr>
        <w:rFonts w:hint="default"/>
        <w:lang w:val="es-ES" w:eastAsia="es-ES" w:bidi="es-ES"/>
      </w:rPr>
    </w:lvl>
    <w:lvl w:ilvl="7">
      <w:start w:val="0"/>
      <w:numFmt w:val="bullet"/>
      <w:lvlText w:val="•"/>
      <w:lvlJc w:val="left"/>
      <w:pPr>
        <w:ind w:left="7702" w:hanging="413"/>
      </w:pPr>
      <w:rPr>
        <w:rFonts w:hint="default"/>
        <w:lang w:val="es-ES" w:eastAsia="es-ES" w:bidi="es-ES"/>
      </w:rPr>
    </w:lvl>
    <w:lvl w:ilvl="8">
      <w:start w:val="0"/>
      <w:numFmt w:val="bullet"/>
      <w:lvlText w:val="•"/>
      <w:lvlJc w:val="left"/>
      <w:pPr>
        <w:ind w:left="8677" w:hanging="413"/>
      </w:pPr>
      <w:rPr>
        <w:rFonts w:hint="default"/>
        <w:lang w:val="es-ES" w:eastAsia="es-ES" w:bidi="es-ES"/>
      </w:rPr>
    </w:lvl>
  </w:abstractNum>
  <w:abstractNum w:abstractNumId="0">
    <w:multiLevelType w:val="hybridMultilevel"/>
    <w:lvl w:ilvl="0">
      <w:start w:val="0"/>
      <w:numFmt w:val="bullet"/>
      <w:lvlText w:val=""/>
      <w:lvlJc w:val="left"/>
      <w:pPr>
        <w:ind w:left="832" w:hanging="361"/>
      </w:pPr>
      <w:rPr>
        <w:rFonts w:hint="default" w:ascii="Symbol" w:hAnsi="Symbol" w:eastAsia="Symbol" w:cs="Symbol"/>
        <w:w w:val="99"/>
        <w:sz w:val="19"/>
        <w:szCs w:val="19"/>
        <w:lang w:val="es-ES" w:eastAsia="es-ES" w:bidi="es-ES"/>
      </w:rPr>
    </w:lvl>
    <w:lvl w:ilvl="1">
      <w:start w:val="0"/>
      <w:numFmt w:val="bullet"/>
      <w:lvlText w:val="•"/>
      <w:lvlJc w:val="left"/>
      <w:pPr>
        <w:ind w:left="1818" w:hanging="361"/>
      </w:pPr>
      <w:rPr>
        <w:rFonts w:hint="default"/>
        <w:lang w:val="es-ES" w:eastAsia="es-ES" w:bidi="es-ES"/>
      </w:rPr>
    </w:lvl>
    <w:lvl w:ilvl="2">
      <w:start w:val="0"/>
      <w:numFmt w:val="bullet"/>
      <w:lvlText w:val="•"/>
      <w:lvlJc w:val="left"/>
      <w:pPr>
        <w:ind w:left="2797" w:hanging="361"/>
      </w:pPr>
      <w:rPr>
        <w:rFonts w:hint="default"/>
        <w:lang w:val="es-ES" w:eastAsia="es-ES" w:bidi="es-ES"/>
      </w:rPr>
    </w:lvl>
    <w:lvl w:ilvl="3">
      <w:start w:val="0"/>
      <w:numFmt w:val="bullet"/>
      <w:lvlText w:val="•"/>
      <w:lvlJc w:val="left"/>
      <w:pPr>
        <w:ind w:left="3775" w:hanging="361"/>
      </w:pPr>
      <w:rPr>
        <w:rFonts w:hint="default"/>
        <w:lang w:val="es-ES" w:eastAsia="es-ES" w:bidi="es-ES"/>
      </w:rPr>
    </w:lvl>
    <w:lvl w:ilvl="4">
      <w:start w:val="0"/>
      <w:numFmt w:val="bullet"/>
      <w:lvlText w:val="•"/>
      <w:lvlJc w:val="left"/>
      <w:pPr>
        <w:ind w:left="4754" w:hanging="361"/>
      </w:pPr>
      <w:rPr>
        <w:rFonts w:hint="default"/>
        <w:lang w:val="es-ES" w:eastAsia="es-ES" w:bidi="es-ES"/>
      </w:rPr>
    </w:lvl>
    <w:lvl w:ilvl="5">
      <w:start w:val="0"/>
      <w:numFmt w:val="bullet"/>
      <w:lvlText w:val="•"/>
      <w:lvlJc w:val="left"/>
      <w:pPr>
        <w:ind w:left="5733" w:hanging="361"/>
      </w:pPr>
      <w:rPr>
        <w:rFonts w:hint="default"/>
        <w:lang w:val="es-ES" w:eastAsia="es-ES" w:bidi="es-ES"/>
      </w:rPr>
    </w:lvl>
    <w:lvl w:ilvl="6">
      <w:start w:val="0"/>
      <w:numFmt w:val="bullet"/>
      <w:lvlText w:val="•"/>
      <w:lvlJc w:val="left"/>
      <w:pPr>
        <w:ind w:left="6711" w:hanging="361"/>
      </w:pPr>
      <w:rPr>
        <w:rFonts w:hint="default"/>
        <w:lang w:val="es-ES" w:eastAsia="es-ES" w:bidi="es-ES"/>
      </w:rPr>
    </w:lvl>
    <w:lvl w:ilvl="7">
      <w:start w:val="0"/>
      <w:numFmt w:val="bullet"/>
      <w:lvlText w:val="•"/>
      <w:lvlJc w:val="left"/>
      <w:pPr>
        <w:ind w:left="7690" w:hanging="361"/>
      </w:pPr>
      <w:rPr>
        <w:rFonts w:hint="default"/>
        <w:lang w:val="es-ES" w:eastAsia="es-ES" w:bidi="es-ES"/>
      </w:rPr>
    </w:lvl>
    <w:lvl w:ilvl="8">
      <w:start w:val="0"/>
      <w:numFmt w:val="bullet"/>
      <w:lvlText w:val="•"/>
      <w:lvlJc w:val="left"/>
      <w:pPr>
        <w:ind w:left="8669" w:hanging="361"/>
      </w:pPr>
      <w:rPr>
        <w:rFonts w:hint="default"/>
        <w:lang w:val="es-ES" w:eastAsia="es-ES" w:bidi="es-ES"/>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s-ES" w:eastAsia="es-ES" w:bidi="es-ES"/>
    </w:rPr>
  </w:style>
  <w:style w:styleId="BodyText" w:type="paragraph">
    <w:name w:val="Body Text"/>
    <w:basedOn w:val="Normal"/>
    <w:uiPriority w:val="1"/>
    <w:qFormat/>
    <w:pPr/>
    <w:rPr>
      <w:rFonts w:ascii="Arial" w:hAnsi="Arial" w:eastAsia="Arial" w:cs="Arial"/>
      <w:sz w:val="19"/>
      <w:szCs w:val="19"/>
      <w:lang w:val="es-ES" w:eastAsia="es-ES" w:bidi="es-ES"/>
    </w:rPr>
  </w:style>
  <w:style w:styleId="Heading1" w:type="paragraph">
    <w:name w:val="Heading 1"/>
    <w:basedOn w:val="Normal"/>
    <w:uiPriority w:val="1"/>
    <w:qFormat/>
    <w:pPr>
      <w:spacing w:before="56"/>
      <w:ind w:right="192"/>
      <w:jc w:val="center"/>
      <w:outlineLvl w:val="1"/>
    </w:pPr>
    <w:rPr>
      <w:rFonts w:ascii="Calibri" w:hAnsi="Calibri" w:eastAsia="Calibri" w:cs="Calibri"/>
      <w:sz w:val="22"/>
      <w:szCs w:val="22"/>
      <w:lang w:val="es-ES" w:eastAsia="es-ES" w:bidi="es-ES"/>
    </w:rPr>
  </w:style>
  <w:style w:styleId="Heading2" w:type="paragraph">
    <w:name w:val="Heading 2"/>
    <w:basedOn w:val="Normal"/>
    <w:uiPriority w:val="1"/>
    <w:qFormat/>
    <w:pPr>
      <w:ind w:left="112" w:right="309"/>
      <w:jc w:val="both"/>
      <w:outlineLvl w:val="2"/>
    </w:pPr>
    <w:rPr>
      <w:rFonts w:ascii="Arial" w:hAnsi="Arial" w:eastAsia="Arial" w:cs="Arial"/>
      <w:b/>
      <w:bCs/>
      <w:sz w:val="20"/>
      <w:szCs w:val="20"/>
      <w:lang w:val="es-ES" w:eastAsia="es-ES" w:bidi="es-ES"/>
    </w:rPr>
  </w:style>
  <w:style w:styleId="ListParagraph" w:type="paragraph">
    <w:name w:val="List Paragraph"/>
    <w:basedOn w:val="Normal"/>
    <w:uiPriority w:val="1"/>
    <w:qFormat/>
    <w:pPr>
      <w:ind w:left="832" w:hanging="361"/>
    </w:pPr>
    <w:rPr>
      <w:rFonts w:ascii="Times New Roman" w:hAnsi="Times New Roman" w:eastAsia="Times New Roman" w:cs="Times New Roman"/>
      <w:lang w:val="es-ES" w:eastAsia="es-ES" w:bidi="es-ES"/>
    </w:rPr>
  </w:style>
  <w:style w:styleId="TableParagraph" w:type="paragraph">
    <w:name w:val="Table Paragraph"/>
    <w:basedOn w:val="Normal"/>
    <w:uiPriority w:val="1"/>
    <w:qFormat/>
    <w:pPr>
      <w:jc w:val="center"/>
    </w:pPr>
    <w:rPr>
      <w:rFonts w:ascii="Arial" w:hAnsi="Arial" w:eastAsia="Arial" w:cs="Arial"/>
      <w:lang w:val="es-ES" w:eastAsia="es-ES" w:bidi="es-E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blanca</dc:creator>
  <dcterms:created xsi:type="dcterms:W3CDTF">2026-04-18T20:01:54Z</dcterms:created>
  <dcterms:modified xsi:type="dcterms:W3CDTF">2026-04-18T20:01:54Z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2025-11-20T00:00:00Z</vt:filetime>
  </property>
  <property fmtid="{D5CDD505-2E9C-101B-9397-08002B2CF9AE}" pid="3" name="Creator">
    <vt:lpwstr>Acrobat PDFMaker 20 para Word</vt:lpwstr>
  </property>
  <property fmtid="{D5CDD505-2E9C-101B-9397-08002B2CF9AE}" pid="4" name="LastSaved">
    <vt:filetime>2026-04-18T00:00:00Z</vt:filetime>
  </property>
</Properties>
</file>