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250001408">
            <wp:simplePos x="0" y="0"/>
            <wp:positionH relativeFrom="page">
              <wp:posOffset>590676</wp:posOffset>
            </wp:positionH>
            <wp:positionV relativeFrom="page">
              <wp:posOffset>38</wp:posOffset>
            </wp:positionV>
            <wp:extent cx="6375067" cy="901581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067" cy="9015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002432">
            <wp:simplePos x="0" y="0"/>
            <wp:positionH relativeFrom="page">
              <wp:posOffset>3481578</wp:posOffset>
            </wp:positionH>
            <wp:positionV relativeFrom="page">
              <wp:posOffset>9816210</wp:posOffset>
            </wp:positionV>
            <wp:extent cx="3146215" cy="466439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15" cy="46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0003456">
            <wp:simplePos x="0" y="0"/>
            <wp:positionH relativeFrom="page">
              <wp:posOffset>6735117</wp:posOffset>
            </wp:positionH>
            <wp:positionV relativeFrom="page">
              <wp:posOffset>9880018</wp:posOffset>
            </wp:positionV>
            <wp:extent cx="338328" cy="33832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</w:rPr>
      </w:pPr>
    </w:p>
    <w:p>
      <w:pPr>
        <w:spacing w:line="247" w:lineRule="auto" w:before="100"/>
        <w:ind w:left="1325" w:right="846" w:firstLine="0"/>
        <w:jc w:val="both"/>
        <w:rPr>
          <w:b/>
          <w:sz w:val="18"/>
        </w:rPr>
      </w:pPr>
      <w:bookmarkStart w:name="CERTIFICADO_P14_10.12.2024_FIRMADO.pdf" w:id="1"/>
      <w:bookmarkEnd w:id="1"/>
      <w:r>
        <w:rPr/>
      </w:r>
      <w:r>
        <w:rPr>
          <w:b/>
          <w:w w:val="105"/>
          <w:sz w:val="18"/>
        </w:rPr>
        <w:t>DÑA. MARÍA ARÁNZAZU FELIÚ VILLALBA, JEFA DE SECCIÓN DE INMIGRACIÓN CON DNI 42.850.833-Q, COMO SECRETARIA DEL PATRONATO DE LA FUNDACIÓN TUTELAR CANARIA PARA LA ACCIÓN SOCIAL, MP.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47" w:lineRule="auto"/>
        <w:ind w:left="1325" w:right="845"/>
        <w:jc w:val="both"/>
      </w:pPr>
      <w:r>
        <w:rPr>
          <w:w w:val="105"/>
        </w:rPr>
        <w:t>CERTIFICA:</w:t>
      </w:r>
      <w:r>
        <w:rPr>
          <w:spacing w:val="-13"/>
          <w:w w:val="105"/>
        </w:rPr>
        <w:t> </w:t>
      </w:r>
      <w:r>
        <w:rPr>
          <w:w w:val="105"/>
        </w:rPr>
        <w:t>Que el Patronato de la Fundación Tutelar Canaria para la Acción Social, M.P., en reunión extraordinaria</w:t>
      </w:r>
      <w:r>
        <w:rPr>
          <w:spacing w:val="-7"/>
          <w:w w:val="105"/>
        </w:rPr>
        <w:t> </w:t>
      </w:r>
      <w:r>
        <w:rPr>
          <w:w w:val="105"/>
        </w:rPr>
        <w:t>celebrada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día</w:t>
      </w:r>
      <w:r>
        <w:rPr>
          <w:spacing w:val="-4"/>
          <w:w w:val="105"/>
        </w:rPr>
        <w:t> </w:t>
      </w:r>
      <w:r>
        <w:rPr>
          <w:w w:val="105"/>
        </w:rPr>
        <w:t>10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diciembre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2024,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b/>
          <w:w w:val="105"/>
        </w:rPr>
        <w:t>Nº</w:t>
      </w:r>
      <w:r>
        <w:rPr>
          <w:b/>
          <w:spacing w:val="-5"/>
          <w:w w:val="105"/>
        </w:rPr>
        <w:t> </w:t>
      </w:r>
      <w:r>
        <w:rPr>
          <w:b/>
          <w:w w:val="105"/>
        </w:rPr>
        <w:t>de</w:t>
      </w:r>
      <w:r>
        <w:rPr>
          <w:b/>
          <w:spacing w:val="-4"/>
          <w:w w:val="105"/>
        </w:rPr>
        <w:t> </w:t>
      </w:r>
      <w:r>
        <w:rPr>
          <w:b/>
          <w:w w:val="105"/>
        </w:rPr>
        <w:t>certificado</w:t>
      </w:r>
      <w:r>
        <w:rPr>
          <w:b/>
          <w:spacing w:val="-7"/>
          <w:w w:val="105"/>
        </w:rPr>
        <w:t> </w:t>
      </w:r>
      <w:r>
        <w:rPr>
          <w:b/>
          <w:w w:val="105"/>
        </w:rPr>
        <w:t>P14/2024</w:t>
      </w:r>
      <w:r>
        <w:rPr>
          <w:w w:val="105"/>
        </w:rPr>
        <w:t>,</w:t>
      </w:r>
      <w:r>
        <w:rPr>
          <w:spacing w:val="-4"/>
          <w:w w:val="105"/>
        </w:rPr>
        <w:t> </w:t>
      </w:r>
      <w:r>
        <w:rPr>
          <w:w w:val="105"/>
        </w:rPr>
        <w:t>adoptó</w:t>
      </w:r>
      <w:r>
        <w:rPr>
          <w:spacing w:val="-7"/>
          <w:w w:val="105"/>
        </w:rPr>
        <w:t> </w:t>
      </w:r>
      <w:r>
        <w:rPr>
          <w:w w:val="105"/>
        </w:rPr>
        <w:t>entre otros, el siguiente</w:t>
      </w:r>
      <w:r>
        <w:rPr>
          <w:spacing w:val="-6"/>
          <w:w w:val="105"/>
        </w:rPr>
        <w:t> </w:t>
      </w:r>
      <w:r>
        <w:rPr>
          <w:w w:val="105"/>
        </w:rPr>
        <w:t>acuerdo:</w:t>
      </w:r>
    </w:p>
    <w:p>
      <w:pPr>
        <w:pStyle w:val="BodyText"/>
        <w:spacing w:before="7"/>
      </w:pPr>
    </w:p>
    <w:p>
      <w:pPr>
        <w:spacing w:line="247" w:lineRule="auto" w:before="0"/>
        <w:ind w:left="1325" w:right="844" w:firstLine="0"/>
        <w:jc w:val="both"/>
        <w:rPr>
          <w:sz w:val="18"/>
        </w:rPr>
      </w:pPr>
      <w:r>
        <w:rPr>
          <w:b/>
          <w:w w:val="105"/>
          <w:sz w:val="18"/>
        </w:rPr>
        <w:t>“4.</w:t>
      </w:r>
      <w:r>
        <w:rPr>
          <w:b/>
          <w:spacing w:val="-22"/>
          <w:w w:val="105"/>
          <w:sz w:val="18"/>
        </w:rPr>
        <w:t> </w:t>
      </w:r>
      <w:r>
        <w:rPr>
          <w:b/>
          <w:w w:val="105"/>
          <w:sz w:val="18"/>
        </w:rPr>
        <w:t>Estudio</w:t>
      </w:r>
      <w:r>
        <w:rPr>
          <w:b/>
          <w:spacing w:val="-23"/>
          <w:w w:val="105"/>
          <w:sz w:val="18"/>
        </w:rPr>
        <w:t> </w:t>
      </w:r>
      <w:r>
        <w:rPr>
          <w:b/>
          <w:w w:val="105"/>
          <w:sz w:val="18"/>
        </w:rPr>
        <w:t>y</w:t>
      </w:r>
      <w:r>
        <w:rPr>
          <w:b/>
          <w:spacing w:val="-24"/>
          <w:w w:val="105"/>
          <w:sz w:val="18"/>
        </w:rPr>
        <w:t> </w:t>
      </w:r>
      <w:r>
        <w:rPr>
          <w:b/>
          <w:w w:val="105"/>
          <w:sz w:val="18"/>
        </w:rPr>
        <w:t>aprobación,</w:t>
      </w:r>
      <w:r>
        <w:rPr>
          <w:b/>
          <w:spacing w:val="-21"/>
          <w:w w:val="105"/>
          <w:sz w:val="18"/>
        </w:rPr>
        <w:t> </w:t>
      </w:r>
      <w:r>
        <w:rPr>
          <w:b/>
          <w:w w:val="105"/>
          <w:sz w:val="18"/>
        </w:rPr>
        <w:t>si</w:t>
      </w:r>
      <w:r>
        <w:rPr>
          <w:b/>
          <w:spacing w:val="-22"/>
          <w:w w:val="105"/>
          <w:sz w:val="18"/>
        </w:rPr>
        <w:t> </w:t>
      </w:r>
      <w:r>
        <w:rPr>
          <w:b/>
          <w:w w:val="105"/>
          <w:sz w:val="18"/>
        </w:rPr>
        <w:t>procede,</w:t>
      </w:r>
      <w:r>
        <w:rPr>
          <w:b/>
          <w:spacing w:val="-22"/>
          <w:w w:val="105"/>
          <w:sz w:val="18"/>
        </w:rPr>
        <w:t> </w:t>
      </w:r>
      <w:r>
        <w:rPr>
          <w:b/>
          <w:w w:val="105"/>
          <w:sz w:val="18"/>
        </w:rPr>
        <w:t>del</w:t>
      </w:r>
      <w:r>
        <w:rPr>
          <w:b/>
          <w:spacing w:val="-21"/>
          <w:w w:val="105"/>
          <w:sz w:val="18"/>
        </w:rPr>
        <w:t> </w:t>
      </w:r>
      <w:r>
        <w:rPr>
          <w:b/>
          <w:w w:val="105"/>
          <w:sz w:val="18"/>
        </w:rPr>
        <w:t>Presupuesto</w:t>
      </w:r>
      <w:r>
        <w:rPr>
          <w:b/>
          <w:spacing w:val="-23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24"/>
          <w:w w:val="105"/>
          <w:sz w:val="18"/>
        </w:rPr>
        <w:t> </w:t>
      </w:r>
      <w:r>
        <w:rPr>
          <w:b/>
          <w:spacing w:val="-3"/>
          <w:w w:val="105"/>
          <w:sz w:val="18"/>
        </w:rPr>
        <w:t>Tesorería</w:t>
      </w:r>
      <w:r>
        <w:rPr>
          <w:b/>
          <w:spacing w:val="-22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24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22"/>
          <w:w w:val="105"/>
          <w:sz w:val="18"/>
        </w:rPr>
        <w:t> </w:t>
      </w:r>
      <w:r>
        <w:rPr>
          <w:b/>
          <w:w w:val="105"/>
          <w:sz w:val="18"/>
        </w:rPr>
        <w:t>Fundación</w:t>
      </w:r>
      <w:r>
        <w:rPr>
          <w:b/>
          <w:spacing w:val="-25"/>
          <w:w w:val="105"/>
          <w:sz w:val="18"/>
        </w:rPr>
        <w:t> </w:t>
      </w:r>
      <w:r>
        <w:rPr>
          <w:b/>
          <w:spacing w:val="-3"/>
          <w:w w:val="105"/>
          <w:sz w:val="18"/>
        </w:rPr>
        <w:t>Tutelar</w:t>
      </w:r>
      <w:r>
        <w:rPr>
          <w:b/>
          <w:spacing w:val="-22"/>
          <w:w w:val="105"/>
          <w:sz w:val="18"/>
        </w:rPr>
        <w:t> </w:t>
      </w:r>
      <w:r>
        <w:rPr>
          <w:b/>
          <w:w w:val="105"/>
          <w:sz w:val="18"/>
        </w:rPr>
        <w:t>Canaria para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23"/>
          <w:w w:val="105"/>
          <w:sz w:val="18"/>
        </w:rPr>
        <w:t> </w:t>
      </w:r>
      <w:r>
        <w:rPr>
          <w:b/>
          <w:w w:val="105"/>
          <w:sz w:val="18"/>
        </w:rPr>
        <w:t>Acción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Social,</w:t>
      </w:r>
      <w:r>
        <w:rPr>
          <w:b/>
          <w:spacing w:val="-18"/>
          <w:w w:val="105"/>
          <w:sz w:val="18"/>
        </w:rPr>
        <w:t> </w:t>
      </w:r>
      <w:r>
        <w:rPr>
          <w:b/>
          <w:spacing w:val="-9"/>
          <w:w w:val="105"/>
          <w:sz w:val="18"/>
        </w:rPr>
        <w:t>MP,</w:t>
      </w:r>
      <w:r>
        <w:rPr>
          <w:b/>
          <w:spacing w:val="-16"/>
          <w:w w:val="105"/>
          <w:sz w:val="18"/>
        </w:rPr>
        <w:t> </w:t>
      </w:r>
      <w:r>
        <w:rPr>
          <w:b/>
          <w:w w:val="105"/>
          <w:sz w:val="18"/>
        </w:rPr>
        <w:t>para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el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ejercicio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2025,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en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cumplimiento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19"/>
          <w:w w:val="105"/>
          <w:sz w:val="18"/>
        </w:rPr>
        <w:t> </w:t>
      </w:r>
      <w:r>
        <w:rPr>
          <w:b/>
          <w:i/>
          <w:w w:val="105"/>
          <w:sz w:val="18"/>
        </w:rPr>
        <w:t>Orden</w:t>
      </w:r>
      <w:r>
        <w:rPr>
          <w:b/>
          <w:i/>
          <w:spacing w:val="-18"/>
          <w:w w:val="105"/>
          <w:sz w:val="18"/>
        </w:rPr>
        <w:t> </w:t>
      </w:r>
      <w:r>
        <w:rPr>
          <w:b/>
          <w:i/>
          <w:w w:val="105"/>
          <w:sz w:val="18"/>
        </w:rPr>
        <w:t>de</w:t>
      </w:r>
      <w:r>
        <w:rPr>
          <w:b/>
          <w:i/>
          <w:spacing w:val="-18"/>
          <w:w w:val="105"/>
          <w:sz w:val="18"/>
        </w:rPr>
        <w:t> </w:t>
      </w:r>
      <w:r>
        <w:rPr>
          <w:b/>
          <w:i/>
          <w:w w:val="105"/>
          <w:sz w:val="18"/>
        </w:rPr>
        <w:t>7</w:t>
      </w:r>
      <w:r>
        <w:rPr>
          <w:b/>
          <w:i/>
          <w:spacing w:val="-19"/>
          <w:w w:val="105"/>
          <w:sz w:val="18"/>
        </w:rPr>
        <w:t> </w:t>
      </w:r>
      <w:r>
        <w:rPr>
          <w:b/>
          <w:i/>
          <w:w w:val="105"/>
          <w:sz w:val="18"/>
        </w:rPr>
        <w:t>de</w:t>
      </w:r>
      <w:r>
        <w:rPr>
          <w:b/>
          <w:i/>
          <w:spacing w:val="-17"/>
          <w:w w:val="105"/>
          <w:sz w:val="18"/>
        </w:rPr>
        <w:t> </w:t>
      </w:r>
      <w:r>
        <w:rPr>
          <w:b/>
          <w:i/>
          <w:w w:val="105"/>
          <w:sz w:val="18"/>
        </w:rPr>
        <w:t>abril</w:t>
      </w:r>
      <w:r>
        <w:rPr>
          <w:b/>
          <w:i/>
          <w:spacing w:val="-16"/>
          <w:w w:val="105"/>
          <w:sz w:val="18"/>
        </w:rPr>
        <w:t> </w:t>
      </w:r>
      <w:r>
        <w:rPr>
          <w:b/>
          <w:i/>
          <w:w w:val="105"/>
          <w:sz w:val="18"/>
        </w:rPr>
        <w:t>de</w:t>
      </w:r>
      <w:r>
        <w:rPr>
          <w:b/>
          <w:i/>
          <w:spacing w:val="-17"/>
          <w:w w:val="105"/>
          <w:sz w:val="18"/>
        </w:rPr>
        <w:t> </w:t>
      </w:r>
      <w:r>
        <w:rPr>
          <w:b/>
          <w:i/>
          <w:w w:val="105"/>
          <w:sz w:val="18"/>
        </w:rPr>
        <w:t>2008, </w:t>
      </w:r>
      <w:r>
        <w:rPr>
          <w:b/>
          <w:i/>
          <w:w w:val="105"/>
          <w:sz w:val="18"/>
        </w:rPr>
        <w:t>por la que se dictan las normas sobre requisitos, estructura y elaboración del Presupuesto de Tesorería</w:t>
      </w:r>
      <w:r>
        <w:rPr>
          <w:b/>
          <w:i/>
          <w:spacing w:val="-7"/>
          <w:w w:val="105"/>
          <w:sz w:val="18"/>
        </w:rPr>
        <w:t> </w:t>
      </w:r>
      <w:r>
        <w:rPr>
          <w:b/>
          <w:i/>
          <w:w w:val="105"/>
          <w:sz w:val="18"/>
        </w:rPr>
        <w:t>de</w:t>
      </w:r>
      <w:r>
        <w:rPr>
          <w:b/>
          <w:i/>
          <w:spacing w:val="-8"/>
          <w:w w:val="105"/>
          <w:sz w:val="18"/>
        </w:rPr>
        <w:t> </w:t>
      </w:r>
      <w:r>
        <w:rPr>
          <w:b/>
          <w:i/>
          <w:w w:val="105"/>
          <w:sz w:val="18"/>
        </w:rPr>
        <w:t>los</w:t>
      </w:r>
      <w:r>
        <w:rPr>
          <w:b/>
          <w:i/>
          <w:spacing w:val="-9"/>
          <w:w w:val="105"/>
          <w:sz w:val="18"/>
        </w:rPr>
        <w:t> </w:t>
      </w:r>
      <w:r>
        <w:rPr>
          <w:b/>
          <w:i/>
          <w:w w:val="105"/>
          <w:sz w:val="18"/>
        </w:rPr>
        <w:t>Sujetos</w:t>
      </w:r>
      <w:r>
        <w:rPr>
          <w:b/>
          <w:i/>
          <w:spacing w:val="-6"/>
          <w:w w:val="105"/>
          <w:sz w:val="18"/>
        </w:rPr>
        <w:t> </w:t>
      </w:r>
      <w:r>
        <w:rPr>
          <w:b/>
          <w:i/>
          <w:w w:val="105"/>
          <w:sz w:val="18"/>
        </w:rPr>
        <w:t>Integrantes</w:t>
      </w:r>
      <w:r>
        <w:rPr>
          <w:b/>
          <w:i/>
          <w:spacing w:val="-6"/>
          <w:w w:val="105"/>
          <w:sz w:val="18"/>
        </w:rPr>
        <w:t> </w:t>
      </w:r>
      <w:r>
        <w:rPr>
          <w:b/>
          <w:i/>
          <w:w w:val="105"/>
          <w:sz w:val="18"/>
        </w:rPr>
        <w:t>del</w:t>
      </w:r>
      <w:r>
        <w:rPr>
          <w:b/>
          <w:i/>
          <w:spacing w:val="-5"/>
          <w:w w:val="105"/>
          <w:sz w:val="18"/>
        </w:rPr>
        <w:t> </w:t>
      </w:r>
      <w:r>
        <w:rPr>
          <w:b/>
          <w:i/>
          <w:w w:val="105"/>
          <w:sz w:val="18"/>
        </w:rPr>
        <w:t>Sector</w:t>
      </w:r>
      <w:r>
        <w:rPr>
          <w:b/>
          <w:i/>
          <w:spacing w:val="-6"/>
          <w:w w:val="105"/>
          <w:sz w:val="18"/>
        </w:rPr>
        <w:t> </w:t>
      </w:r>
      <w:r>
        <w:rPr>
          <w:b/>
          <w:i/>
          <w:w w:val="105"/>
          <w:sz w:val="18"/>
        </w:rPr>
        <w:t>Público</w:t>
      </w:r>
      <w:r>
        <w:rPr>
          <w:b/>
          <w:i/>
          <w:spacing w:val="-7"/>
          <w:w w:val="105"/>
          <w:sz w:val="18"/>
        </w:rPr>
        <w:t> </w:t>
      </w:r>
      <w:r>
        <w:rPr>
          <w:b/>
          <w:i/>
          <w:w w:val="105"/>
          <w:sz w:val="18"/>
        </w:rPr>
        <w:t>con</w:t>
      </w:r>
      <w:r>
        <w:rPr>
          <w:b/>
          <w:i/>
          <w:spacing w:val="-7"/>
          <w:w w:val="105"/>
          <w:sz w:val="18"/>
        </w:rPr>
        <w:t> </w:t>
      </w:r>
      <w:r>
        <w:rPr>
          <w:b/>
          <w:i/>
          <w:w w:val="105"/>
          <w:sz w:val="18"/>
        </w:rPr>
        <w:t>Presupuesto</w:t>
      </w:r>
      <w:r>
        <w:rPr>
          <w:b/>
          <w:i/>
          <w:spacing w:val="-7"/>
          <w:w w:val="105"/>
          <w:sz w:val="18"/>
        </w:rPr>
        <w:t> </w:t>
      </w:r>
      <w:r>
        <w:rPr>
          <w:b/>
          <w:i/>
          <w:w w:val="105"/>
          <w:sz w:val="18"/>
        </w:rPr>
        <w:t>Estimativo.</w:t>
      </w:r>
      <w:r>
        <w:rPr>
          <w:b/>
          <w:i/>
          <w:spacing w:val="-5"/>
          <w:w w:val="105"/>
          <w:sz w:val="18"/>
        </w:rPr>
        <w:t> </w:t>
      </w:r>
      <w:r>
        <w:rPr>
          <w:w w:val="105"/>
          <w:sz w:val="18"/>
        </w:rPr>
        <w:t>Después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 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entrega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documentación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referida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dicho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extremo,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varias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deliberaciones,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fue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por unanimidad. Dicha documentación se encuentra a disposición en la sede administrativa y en la web de FUCAS</w:t>
      </w:r>
      <w:r>
        <w:rPr>
          <w:spacing w:val="-2"/>
          <w:w w:val="105"/>
          <w:sz w:val="18"/>
        </w:rPr>
        <w:t> </w:t>
      </w:r>
      <w:hyperlink r:id="rId8">
        <w:r>
          <w:rPr>
            <w:w w:val="105"/>
            <w:sz w:val="18"/>
          </w:rPr>
          <w:t>www.fucas.org.</w:t>
        </w:r>
      </w:hyperlink>
    </w:p>
    <w:p>
      <w:pPr>
        <w:pStyle w:val="BodyText"/>
        <w:spacing w:before="7"/>
      </w:pPr>
    </w:p>
    <w:p>
      <w:pPr>
        <w:pStyle w:val="BodyText"/>
        <w:spacing w:line="247" w:lineRule="auto"/>
        <w:ind w:left="1325" w:right="844"/>
        <w:jc w:val="both"/>
      </w:pPr>
      <w:r>
        <w:rPr>
          <w:w w:val="105"/>
        </w:rPr>
        <w:t>Así</w:t>
      </w:r>
      <w:r>
        <w:rPr>
          <w:spacing w:val="-10"/>
          <w:w w:val="105"/>
        </w:rPr>
        <w:t> </w:t>
      </w:r>
      <w:r>
        <w:rPr>
          <w:w w:val="105"/>
        </w:rPr>
        <w:t>mismo,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hace</w:t>
      </w:r>
      <w:r>
        <w:rPr>
          <w:spacing w:val="-12"/>
          <w:w w:val="105"/>
        </w:rPr>
        <w:t> </w:t>
      </w:r>
      <w:r>
        <w:rPr>
          <w:w w:val="105"/>
        </w:rPr>
        <w:t>constar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Patronato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Fundación</w:t>
      </w:r>
      <w:r>
        <w:rPr>
          <w:spacing w:val="-11"/>
          <w:w w:val="105"/>
        </w:rPr>
        <w:t> </w:t>
      </w:r>
      <w:r>
        <w:rPr>
          <w:w w:val="105"/>
        </w:rPr>
        <w:t>Tutelar</w:t>
      </w:r>
      <w:r>
        <w:rPr>
          <w:spacing w:val="-10"/>
          <w:w w:val="105"/>
        </w:rPr>
        <w:t> </w:t>
      </w:r>
      <w:r>
        <w:rPr>
          <w:w w:val="105"/>
        </w:rPr>
        <w:t>Canaria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Acción</w:t>
      </w:r>
      <w:r>
        <w:rPr>
          <w:spacing w:val="-11"/>
          <w:w w:val="105"/>
        </w:rPr>
        <w:t> </w:t>
      </w:r>
      <w:r>
        <w:rPr>
          <w:w w:val="105"/>
        </w:rPr>
        <w:t>Social,</w:t>
      </w:r>
      <w:r>
        <w:rPr>
          <w:spacing w:val="-11"/>
          <w:w w:val="105"/>
        </w:rPr>
        <w:t> </w:t>
      </w:r>
      <w:r>
        <w:rPr>
          <w:w w:val="105"/>
        </w:rPr>
        <w:t>MP, a 10 de diciembre de 2024, fecha en que se aprobaron, entre otros, el Presupuesto de Tesorería de la propia Fundación relativos al ejercicio 2024, está compuesto por los miembros que a continuación se relacionan:</w:t>
      </w:r>
    </w:p>
    <w:p>
      <w:pPr>
        <w:pStyle w:val="ListParagraph"/>
        <w:numPr>
          <w:ilvl w:val="0"/>
          <w:numId w:val="1"/>
        </w:numPr>
        <w:tabs>
          <w:tab w:pos="1931" w:val="left" w:leader="none"/>
          <w:tab w:pos="1932" w:val="left" w:leader="none"/>
        </w:tabs>
        <w:spacing w:line="206" w:lineRule="exact" w:before="0" w:after="0"/>
        <w:ind w:left="1931" w:right="0" w:hanging="304"/>
        <w:jc w:val="left"/>
        <w:rPr>
          <w:sz w:val="18"/>
        </w:rPr>
      </w:pPr>
      <w:r>
        <w:rPr>
          <w:w w:val="105"/>
          <w:sz w:val="18"/>
        </w:rPr>
        <w:t>Presidente: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Francisco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Gaspar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Candil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González,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Viceconsejero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Bienestar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Social.</w:t>
      </w:r>
    </w:p>
    <w:p>
      <w:pPr>
        <w:pStyle w:val="ListParagraph"/>
        <w:numPr>
          <w:ilvl w:val="0"/>
          <w:numId w:val="1"/>
        </w:numPr>
        <w:tabs>
          <w:tab w:pos="1931" w:val="left" w:leader="none"/>
          <w:tab w:pos="1932" w:val="left" w:leader="none"/>
        </w:tabs>
        <w:spacing w:line="247" w:lineRule="auto" w:before="7" w:after="0"/>
        <w:ind w:left="1932" w:right="844" w:hanging="304"/>
        <w:jc w:val="left"/>
        <w:rPr>
          <w:sz w:val="18"/>
        </w:rPr>
      </w:pPr>
      <w:r>
        <w:rPr>
          <w:w w:val="105"/>
          <w:sz w:val="18"/>
        </w:rPr>
        <w:t>Vicepresidenta: Dña. Elisabet Santana Rosales, Directora General de Servicios Sociales e Inmigración.</w:t>
      </w:r>
    </w:p>
    <w:p>
      <w:pPr>
        <w:pStyle w:val="ListParagraph"/>
        <w:numPr>
          <w:ilvl w:val="0"/>
          <w:numId w:val="1"/>
        </w:numPr>
        <w:tabs>
          <w:tab w:pos="1931" w:val="left" w:leader="none"/>
          <w:tab w:pos="1932" w:val="left" w:leader="none"/>
        </w:tabs>
        <w:spacing w:line="240" w:lineRule="auto" w:before="1" w:after="0"/>
        <w:ind w:left="1931" w:right="0" w:hanging="304"/>
        <w:jc w:val="left"/>
        <w:rPr>
          <w:sz w:val="18"/>
        </w:rPr>
      </w:pPr>
      <w:r>
        <w:rPr>
          <w:w w:val="105"/>
          <w:sz w:val="18"/>
        </w:rPr>
        <w:t>Vocal: Dña. Concepción Ramírez Cuélliga, Directora General de</w:t>
      </w:r>
      <w:r>
        <w:rPr>
          <w:spacing w:val="-31"/>
          <w:w w:val="105"/>
          <w:sz w:val="18"/>
        </w:rPr>
        <w:t> </w:t>
      </w:r>
      <w:r>
        <w:rPr>
          <w:w w:val="105"/>
          <w:sz w:val="18"/>
        </w:rPr>
        <w:t>Dependencia.</w:t>
      </w:r>
    </w:p>
    <w:p>
      <w:pPr>
        <w:pStyle w:val="ListParagraph"/>
        <w:numPr>
          <w:ilvl w:val="0"/>
          <w:numId w:val="1"/>
        </w:numPr>
        <w:tabs>
          <w:tab w:pos="1931" w:val="left" w:leader="none"/>
          <w:tab w:pos="1932" w:val="left" w:leader="none"/>
        </w:tabs>
        <w:spacing w:line="240" w:lineRule="auto" w:before="5" w:after="0"/>
        <w:ind w:left="1931" w:right="0" w:hanging="304"/>
        <w:jc w:val="left"/>
        <w:rPr>
          <w:sz w:val="18"/>
        </w:rPr>
      </w:pPr>
      <w:r>
        <w:rPr>
          <w:w w:val="105"/>
          <w:sz w:val="18"/>
        </w:rPr>
        <w:t>Vocal: Dña. Dulce María Gutiérrez González, Directora General de</w:t>
      </w:r>
      <w:r>
        <w:rPr>
          <w:spacing w:val="-38"/>
          <w:w w:val="105"/>
          <w:sz w:val="18"/>
        </w:rPr>
        <w:t> </w:t>
      </w:r>
      <w:r>
        <w:rPr>
          <w:w w:val="105"/>
          <w:sz w:val="18"/>
        </w:rPr>
        <w:t>Discapacidad.</w:t>
      </w:r>
    </w:p>
    <w:p>
      <w:pPr>
        <w:pStyle w:val="ListParagraph"/>
        <w:numPr>
          <w:ilvl w:val="0"/>
          <w:numId w:val="1"/>
        </w:numPr>
        <w:tabs>
          <w:tab w:pos="1931" w:val="left" w:leader="none"/>
          <w:tab w:pos="1932" w:val="left" w:leader="none"/>
        </w:tabs>
        <w:spacing w:line="240" w:lineRule="auto" w:before="8" w:after="0"/>
        <w:ind w:left="1931" w:right="0" w:hanging="304"/>
        <w:jc w:val="left"/>
        <w:rPr>
          <w:sz w:val="18"/>
        </w:rPr>
      </w:pPr>
      <w:r>
        <w:rPr>
          <w:w w:val="105"/>
          <w:sz w:val="18"/>
        </w:rPr>
        <w:t>Dña.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Verónica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Meseguer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Pino,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Directora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Mayores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Participación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Activa.</w:t>
      </w:r>
    </w:p>
    <w:p>
      <w:pPr>
        <w:pStyle w:val="ListParagraph"/>
        <w:numPr>
          <w:ilvl w:val="0"/>
          <w:numId w:val="1"/>
        </w:numPr>
        <w:tabs>
          <w:tab w:pos="1931" w:val="left" w:leader="none"/>
          <w:tab w:pos="1932" w:val="left" w:leader="none"/>
        </w:tabs>
        <w:spacing w:line="240" w:lineRule="auto" w:before="5" w:after="0"/>
        <w:ind w:left="1931" w:right="0" w:hanging="304"/>
        <w:jc w:val="left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D.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Carlos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Gustavo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Díaz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Perera,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Servicio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Canario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Salud.</w:t>
      </w:r>
    </w:p>
    <w:p>
      <w:pPr>
        <w:pStyle w:val="ListParagraph"/>
        <w:numPr>
          <w:ilvl w:val="0"/>
          <w:numId w:val="1"/>
        </w:numPr>
        <w:tabs>
          <w:tab w:pos="1925" w:val="left" w:leader="none"/>
          <w:tab w:pos="1927" w:val="left" w:leader="none"/>
        </w:tabs>
        <w:spacing w:line="249" w:lineRule="auto" w:before="6" w:after="0"/>
        <w:ind w:left="1926" w:right="849" w:hanging="300"/>
        <w:jc w:val="left"/>
        <w:rPr>
          <w:sz w:val="18"/>
        </w:rPr>
      </w:pPr>
      <w:r>
        <w:rPr>
          <w:w w:val="105"/>
          <w:sz w:val="18"/>
        </w:rPr>
        <w:t>Secretaria del Patronato, Secretaria del Patronato, Dña. María Aránzazu Feliú Villalba, Jefa de Sección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Inmigración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Dirección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Servicios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Sociales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Inmigración.”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47" w:lineRule="auto"/>
        <w:ind w:left="1325" w:right="844"/>
        <w:jc w:val="both"/>
      </w:pPr>
      <w:r>
        <w:rPr>
          <w:w w:val="105"/>
        </w:rPr>
        <w:t>Y</w:t>
      </w:r>
      <w:r>
        <w:rPr>
          <w:spacing w:val="-17"/>
          <w:w w:val="105"/>
        </w:rPr>
        <w:t> </w:t>
      </w:r>
      <w:r>
        <w:rPr>
          <w:w w:val="105"/>
        </w:rPr>
        <w:t>para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6"/>
          <w:w w:val="105"/>
        </w:rPr>
        <w:t> </w:t>
      </w:r>
      <w:r>
        <w:rPr>
          <w:w w:val="105"/>
        </w:rPr>
        <w:t>conste</w:t>
      </w:r>
      <w:r>
        <w:rPr>
          <w:spacing w:val="-17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surta</w:t>
      </w:r>
      <w:r>
        <w:rPr>
          <w:spacing w:val="-16"/>
          <w:w w:val="105"/>
        </w:rPr>
        <w:t> </w:t>
      </w:r>
      <w:r>
        <w:rPr>
          <w:w w:val="105"/>
        </w:rPr>
        <w:t>efectos,</w:t>
      </w:r>
      <w:r>
        <w:rPr>
          <w:spacing w:val="-15"/>
          <w:w w:val="105"/>
        </w:rPr>
        <w:t> </w:t>
      </w:r>
      <w:r>
        <w:rPr>
          <w:w w:val="105"/>
        </w:rPr>
        <w:t>expide</w:t>
      </w:r>
      <w:r>
        <w:rPr>
          <w:spacing w:val="-16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w w:val="105"/>
        </w:rPr>
        <w:t>presente,</w:t>
      </w:r>
      <w:r>
        <w:rPr>
          <w:spacing w:val="-16"/>
          <w:w w:val="105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7"/>
          <w:w w:val="105"/>
        </w:rPr>
        <w:t> </w:t>
      </w:r>
      <w:r>
        <w:rPr>
          <w:w w:val="105"/>
        </w:rPr>
        <w:t>visto</w:t>
      </w:r>
      <w:r>
        <w:rPr>
          <w:spacing w:val="-18"/>
          <w:w w:val="105"/>
        </w:rPr>
        <w:t> </w:t>
      </w:r>
      <w:r>
        <w:rPr>
          <w:w w:val="105"/>
        </w:rPr>
        <w:t>bueno</w:t>
      </w:r>
      <w:r>
        <w:rPr>
          <w:spacing w:val="-17"/>
          <w:w w:val="105"/>
        </w:rPr>
        <w:t> </w:t>
      </w:r>
      <w:r>
        <w:rPr>
          <w:w w:val="105"/>
        </w:rPr>
        <w:t>del</w:t>
      </w:r>
      <w:r>
        <w:rPr>
          <w:spacing w:val="-15"/>
          <w:w w:val="105"/>
        </w:rPr>
        <w:t> </w:t>
      </w:r>
      <w:r>
        <w:rPr>
          <w:w w:val="105"/>
        </w:rPr>
        <w:t>Sr.</w:t>
      </w:r>
      <w:r>
        <w:rPr>
          <w:spacing w:val="-16"/>
          <w:w w:val="105"/>
        </w:rPr>
        <w:t> </w:t>
      </w:r>
      <w:r>
        <w:rPr>
          <w:w w:val="105"/>
        </w:rPr>
        <w:t>Presidente</w:t>
      </w:r>
      <w:r>
        <w:rPr>
          <w:spacing w:val="-16"/>
          <w:w w:val="105"/>
        </w:rPr>
        <w:t> </w:t>
      </w:r>
      <w:r>
        <w:rPr>
          <w:w w:val="105"/>
        </w:rPr>
        <w:t>del</w:t>
      </w:r>
      <w:r>
        <w:rPr>
          <w:spacing w:val="-16"/>
          <w:w w:val="105"/>
        </w:rPr>
        <w:t> </w:t>
      </w:r>
      <w:r>
        <w:rPr>
          <w:w w:val="105"/>
        </w:rPr>
        <w:t>Patronato, en Las Palmas de Gran canaria, a diez de diciembre de</w:t>
      </w:r>
      <w:r>
        <w:rPr>
          <w:spacing w:val="-31"/>
          <w:w w:val="105"/>
        </w:rPr>
        <w:t> </w:t>
      </w:r>
      <w:r>
        <w:rPr>
          <w:w w:val="105"/>
        </w:rPr>
        <w:t>2024.</w:t>
      </w:r>
    </w:p>
    <w:p>
      <w:pPr>
        <w:pStyle w:val="BodyText"/>
        <w:spacing w:before="6"/>
      </w:pPr>
    </w:p>
    <w:p>
      <w:pPr>
        <w:pStyle w:val="BodyText"/>
        <w:tabs>
          <w:tab w:pos="6100" w:val="left" w:leader="none"/>
        </w:tabs>
        <w:spacing w:before="1"/>
        <w:ind w:left="1325"/>
        <w:jc w:val="both"/>
      </w:pPr>
      <w:r>
        <w:rPr>
          <w:w w:val="105"/>
        </w:rPr>
        <w:t>Vº Bº</w:t>
      </w:r>
      <w:r>
        <w:rPr>
          <w:spacing w:val="-18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PRESIDENTE,</w:t>
        <w:tab/>
        <w:t>LA</w:t>
      </w:r>
      <w:r>
        <w:rPr>
          <w:spacing w:val="-1"/>
          <w:w w:val="105"/>
        </w:rPr>
        <w:t> </w:t>
      </w:r>
      <w:r>
        <w:rPr>
          <w:w w:val="105"/>
        </w:rPr>
        <w:t>SECRETARIA,</w:t>
      </w:r>
    </w:p>
    <w:p>
      <w:pPr>
        <w:pStyle w:val="BodyText"/>
        <w:tabs>
          <w:tab w:pos="6101" w:val="left" w:leader="none"/>
        </w:tabs>
        <w:spacing w:before="7"/>
        <w:ind w:left="1325"/>
        <w:jc w:val="both"/>
      </w:pPr>
      <w:r>
        <w:rPr>
          <w:w w:val="105"/>
        </w:rPr>
        <w:t>FRANCISCO GASPAR</w:t>
      </w:r>
      <w:r>
        <w:rPr>
          <w:spacing w:val="-33"/>
          <w:w w:val="105"/>
        </w:rPr>
        <w:t> </w:t>
      </w:r>
      <w:r>
        <w:rPr>
          <w:w w:val="105"/>
        </w:rPr>
        <w:t>CANDIL</w:t>
      </w:r>
      <w:r>
        <w:rPr>
          <w:spacing w:val="-15"/>
          <w:w w:val="105"/>
        </w:rPr>
        <w:t> </w:t>
      </w:r>
      <w:r>
        <w:rPr>
          <w:w w:val="105"/>
        </w:rPr>
        <w:t>GONZÁLEZ</w:t>
        <w:tab/>
        <w:t>MARÍA ARÁNZAZU FELIÚ</w:t>
      </w:r>
      <w:r>
        <w:rPr>
          <w:spacing w:val="-10"/>
          <w:w w:val="105"/>
        </w:rPr>
        <w:t> </w:t>
      </w:r>
      <w:r>
        <w:rPr>
          <w:w w:val="105"/>
        </w:rPr>
        <w:t>VILLALBA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1859"/>
      </w:tblGrid>
      <w:tr>
        <w:trPr>
          <w:trHeight w:val="147" w:hRule="atLeast"/>
        </w:trPr>
        <w:tc>
          <w:tcPr>
            <w:tcW w:w="10538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 w:before="2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Este documento ha sido firmado electrónicamente por:</w:t>
            </w:r>
          </w:p>
        </w:tc>
      </w:tr>
      <w:tr>
        <w:trPr>
          <w:trHeight w:val="305" w:hRule="atLeast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8" w:lineRule="auto" w:before="34"/>
              <w:ind w:left="40" w:right="4968"/>
              <w:jc w:val="left"/>
              <w:rPr>
                <w:sz w:val="12"/>
              </w:rPr>
            </w:pPr>
            <w:r>
              <w:rPr>
                <w:sz w:val="12"/>
              </w:rPr>
              <w:t>FRANCISCO GASPAR CANDIL GONZALEZ - VICECONSEJERO/A MARIA ARANZAZU FELIU VILLALBA - J/SECCION INMIGRACION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56"/>
              <w:ind w:left="40" w:right="211"/>
              <w:jc w:val="left"/>
              <w:rPr>
                <w:sz w:val="12"/>
              </w:rPr>
            </w:pPr>
            <w:r>
              <w:rPr>
                <w:sz w:val="12"/>
              </w:rPr>
              <w:t>Fecha: 12/12/2024 - 14:02:32 Fecha: 12/12/2024 - 13:18:10</w:t>
            </w:r>
          </w:p>
        </w:tc>
      </w:tr>
      <w:tr>
        <w:trPr>
          <w:trHeight w:val="763" w:hRule="atLeast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sz w:val="12"/>
              </w:rPr>
            </w:pPr>
          </w:p>
          <w:p>
            <w:pPr>
              <w:pStyle w:val="TableParagraph"/>
              <w:spacing w:line="208" w:lineRule="auto" w:before="0"/>
              <w:ind w:left="40" w:right="6005"/>
              <w:jc w:val="left"/>
              <w:rPr>
                <w:sz w:val="12"/>
              </w:rPr>
            </w:pPr>
            <w:r>
              <w:rPr>
                <w:sz w:val="12"/>
              </w:rPr>
              <w:t>En la dirección https://sede.gobiernodecanarias.org/sede/verifica_doc?codigo_nde= puede ser comprobada la autenticidad de esta copia, mediante el número de documento electrónico siguiente:</w:t>
            </w:r>
          </w:p>
          <w:p>
            <w:pPr>
              <w:pStyle w:val="TableParagraph"/>
              <w:spacing w:before="5"/>
              <w:ind w:left="136"/>
              <w:jc w:val="left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RP001-000vDjsFAYMKo5mLgKERftfjA==</w:t>
            </w:r>
          </w:p>
        </w:tc>
      </w:tr>
      <w:tr>
        <w:trPr>
          <w:trHeight w:val="190" w:hRule="atLeast"/>
        </w:trPr>
        <w:tc>
          <w:tcPr>
            <w:tcW w:w="10538" w:type="dxa"/>
            <w:gridSpan w:val="2"/>
          </w:tcPr>
          <w:p>
            <w:pPr>
              <w:pStyle w:val="TableParagraph"/>
              <w:spacing w:line="128" w:lineRule="exact" w:before="42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El presente documento ha sido descargado el 13/12/2024 - 07:53:47</w:t>
            </w:r>
          </w:p>
        </w:tc>
      </w:tr>
    </w:tbl>
    <w:p>
      <w:pPr>
        <w:spacing w:after="0" w:line="128" w:lineRule="exact"/>
        <w:jc w:val="left"/>
        <w:rPr>
          <w:sz w:val="12"/>
        </w:rPr>
        <w:sectPr>
          <w:type w:val="continuous"/>
          <w:pgSz w:w="11900" w:h="16840"/>
          <w:pgMar w:top="0" w:bottom="280" w:left="560" w:right="560"/>
        </w:sect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7"/>
      </w:tblGrid>
      <w:tr>
        <w:trPr>
          <w:trHeight w:val="134" w:hRule="atLeast"/>
        </w:trPr>
        <w:tc>
          <w:tcPr>
            <w:tcW w:w="4087" w:type="dxa"/>
          </w:tcPr>
          <w:p>
            <w:pPr>
              <w:pStyle w:val="TableParagraph"/>
              <w:spacing w:line="115" w:lineRule="exact" w:before="0"/>
              <w:ind w:left="112"/>
              <w:jc w:val="left"/>
              <w:rPr>
                <w:b/>
                <w:sz w:val="11"/>
              </w:rPr>
            </w:pPr>
            <w:bookmarkStart w:name="PRESUPUESTO DE TESORERÍA FuCAS 2025" w:id="2"/>
            <w:bookmarkEnd w:id="2"/>
            <w:r>
              <w:rPr/>
            </w:r>
            <w:r>
              <w:rPr>
                <w:b/>
                <w:sz w:val="11"/>
              </w:rPr>
              <w:t>PRESUPUESTO DE TESORERÍA EJERCICIO 2025</w:t>
            </w:r>
          </w:p>
        </w:tc>
      </w:tr>
      <w:tr>
        <w:trPr>
          <w:trHeight w:val="134" w:hRule="atLeast"/>
        </w:trPr>
        <w:tc>
          <w:tcPr>
            <w:tcW w:w="4087" w:type="dxa"/>
          </w:tcPr>
          <w:p>
            <w:pPr>
              <w:pStyle w:val="TableParagraph"/>
              <w:spacing w:line="114" w:lineRule="exact" w:before="1"/>
              <w:ind w:left="112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FUNDACIÓN TUTELAR CANARIA PARA LA ACCIÓN SOCIAL, M.P. (FuCAS)</w:t>
            </w:r>
          </w:p>
        </w:tc>
      </w:tr>
    </w:tbl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2"/>
        <w:gridCol w:w="1475"/>
        <w:gridCol w:w="886"/>
        <w:gridCol w:w="860"/>
        <w:gridCol w:w="841"/>
        <w:gridCol w:w="877"/>
        <w:gridCol w:w="867"/>
        <w:gridCol w:w="781"/>
        <w:gridCol w:w="808"/>
        <w:gridCol w:w="999"/>
        <w:gridCol w:w="903"/>
        <w:gridCol w:w="929"/>
        <w:gridCol w:w="939"/>
      </w:tblGrid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CONCEPTOS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96"/>
              <w:ind w:left="542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ENERO</w:t>
            </w:r>
          </w:p>
        </w:tc>
        <w:tc>
          <w:tcPr>
            <w:tcW w:w="886" w:type="dxa"/>
          </w:tcPr>
          <w:p>
            <w:pPr>
              <w:pStyle w:val="TableParagraph"/>
              <w:spacing w:before="96"/>
              <w:ind w:left="173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FEBRERO</w:t>
            </w:r>
          </w:p>
        </w:tc>
        <w:tc>
          <w:tcPr>
            <w:tcW w:w="860" w:type="dxa"/>
          </w:tcPr>
          <w:p>
            <w:pPr>
              <w:pStyle w:val="TableParagraph"/>
              <w:spacing w:before="96"/>
              <w:ind w:left="231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MARZO</w:t>
            </w:r>
          </w:p>
        </w:tc>
        <w:tc>
          <w:tcPr>
            <w:tcW w:w="841" w:type="dxa"/>
          </w:tcPr>
          <w:p>
            <w:pPr>
              <w:pStyle w:val="TableParagraph"/>
              <w:spacing w:before="96"/>
              <w:ind w:left="254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ABRIL</w:t>
            </w:r>
          </w:p>
        </w:tc>
        <w:tc>
          <w:tcPr>
            <w:tcW w:w="877" w:type="dxa"/>
          </w:tcPr>
          <w:p>
            <w:pPr>
              <w:pStyle w:val="TableParagraph"/>
              <w:spacing w:before="96"/>
              <w:ind w:left="275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MAYO</w:t>
            </w:r>
          </w:p>
        </w:tc>
        <w:tc>
          <w:tcPr>
            <w:tcW w:w="867" w:type="dxa"/>
          </w:tcPr>
          <w:p>
            <w:pPr>
              <w:pStyle w:val="TableParagraph"/>
              <w:spacing w:before="96"/>
              <w:ind w:left="264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JUNIO</w:t>
            </w:r>
          </w:p>
        </w:tc>
        <w:tc>
          <w:tcPr>
            <w:tcW w:w="781" w:type="dxa"/>
          </w:tcPr>
          <w:p>
            <w:pPr>
              <w:pStyle w:val="TableParagraph"/>
              <w:spacing w:before="96"/>
              <w:ind w:left="225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JULIO</w:t>
            </w:r>
          </w:p>
        </w:tc>
        <w:tc>
          <w:tcPr>
            <w:tcW w:w="808" w:type="dxa"/>
          </w:tcPr>
          <w:p>
            <w:pPr>
              <w:pStyle w:val="TableParagraph"/>
              <w:spacing w:before="96"/>
              <w:ind w:left="159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AGOSTO</w:t>
            </w:r>
          </w:p>
        </w:tc>
        <w:tc>
          <w:tcPr>
            <w:tcW w:w="999" w:type="dxa"/>
          </w:tcPr>
          <w:p>
            <w:pPr>
              <w:pStyle w:val="TableParagraph"/>
              <w:spacing w:before="96"/>
              <w:ind w:left="134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SEPTIEMBRE</w:t>
            </w:r>
          </w:p>
        </w:tc>
        <w:tc>
          <w:tcPr>
            <w:tcW w:w="903" w:type="dxa"/>
          </w:tcPr>
          <w:p>
            <w:pPr>
              <w:pStyle w:val="TableParagraph"/>
              <w:spacing w:before="96"/>
              <w:ind w:left="172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OCTUBRE</w:t>
            </w:r>
          </w:p>
        </w:tc>
        <w:tc>
          <w:tcPr>
            <w:tcW w:w="929" w:type="dxa"/>
          </w:tcPr>
          <w:p>
            <w:pPr>
              <w:pStyle w:val="TableParagraph"/>
              <w:spacing w:before="96"/>
              <w:ind w:left="1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NOVIEMBRE</w:t>
            </w:r>
          </w:p>
        </w:tc>
        <w:tc>
          <w:tcPr>
            <w:tcW w:w="939" w:type="dxa"/>
          </w:tcPr>
          <w:p>
            <w:pPr>
              <w:pStyle w:val="TableParagraph"/>
              <w:spacing w:before="96"/>
              <w:ind w:left="157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DICIEMBRE</w:t>
            </w:r>
          </w:p>
        </w:tc>
      </w:tr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before="96"/>
              <w:ind w:left="26"/>
              <w:jc w:val="left"/>
              <w:rPr>
                <w:sz w:val="11"/>
              </w:rPr>
            </w:pPr>
            <w:r>
              <w:rPr>
                <w:sz w:val="11"/>
                <w:u w:val="single"/>
              </w:rPr>
              <w:t>FLUJOS DE EFECTIVO DE LAS ACTIVIDADES DE OPERACIÓN</w:t>
            </w:r>
            <w:r>
              <w:rPr>
                <w:sz w:val="11"/>
              </w:rPr>
              <w:t>:</w:t>
            </w:r>
          </w:p>
        </w:tc>
        <w:tc>
          <w:tcPr>
            <w:tcW w:w="147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0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Cobros:</w:t>
            </w:r>
          </w:p>
        </w:tc>
        <w:tc>
          <w:tcPr>
            <w:tcW w:w="1475" w:type="dxa"/>
          </w:tcPr>
          <w:p>
            <w:pPr>
              <w:pStyle w:val="TableParagraph"/>
              <w:spacing w:line="114" w:lineRule="exact" w:before="16"/>
              <w:ind w:right="13"/>
              <w:rPr>
                <w:b/>
                <w:sz w:val="11"/>
              </w:rPr>
            </w:pPr>
            <w:r>
              <w:rPr>
                <w:b/>
                <w:sz w:val="11"/>
              </w:rPr>
              <w:t>412.398,59</w:t>
            </w:r>
          </w:p>
        </w:tc>
        <w:tc>
          <w:tcPr>
            <w:tcW w:w="886" w:type="dxa"/>
          </w:tcPr>
          <w:p>
            <w:pPr>
              <w:pStyle w:val="TableParagraph"/>
              <w:spacing w:line="114" w:lineRule="exact" w:before="16"/>
              <w:ind w:right="13"/>
              <w:rPr>
                <w:b/>
                <w:sz w:val="11"/>
              </w:rPr>
            </w:pPr>
            <w:r>
              <w:rPr>
                <w:b/>
                <w:sz w:val="11"/>
              </w:rPr>
              <w:t>412.224,30</w:t>
            </w:r>
          </w:p>
        </w:tc>
        <w:tc>
          <w:tcPr>
            <w:tcW w:w="860" w:type="dxa"/>
          </w:tcPr>
          <w:p>
            <w:pPr>
              <w:pStyle w:val="TableParagraph"/>
              <w:spacing w:line="114" w:lineRule="exact" w:before="16"/>
              <w:ind w:right="14"/>
              <w:rPr>
                <w:b/>
                <w:sz w:val="11"/>
              </w:rPr>
            </w:pPr>
            <w:r>
              <w:rPr>
                <w:b/>
                <w:sz w:val="11"/>
              </w:rPr>
              <w:t>1.928.832,30</w:t>
            </w:r>
          </w:p>
        </w:tc>
        <w:tc>
          <w:tcPr>
            <w:tcW w:w="841" w:type="dxa"/>
          </w:tcPr>
          <w:p>
            <w:pPr>
              <w:pStyle w:val="TableParagraph"/>
              <w:spacing w:line="114" w:lineRule="exact" w:before="16"/>
              <w:ind w:right="15"/>
              <w:rPr>
                <w:b/>
                <w:sz w:val="11"/>
              </w:rPr>
            </w:pPr>
            <w:r>
              <w:rPr>
                <w:b/>
                <w:sz w:val="11"/>
              </w:rPr>
              <w:t>2.830.485,30</w:t>
            </w:r>
          </w:p>
        </w:tc>
        <w:tc>
          <w:tcPr>
            <w:tcW w:w="877" w:type="dxa"/>
          </w:tcPr>
          <w:p>
            <w:pPr>
              <w:pStyle w:val="TableParagraph"/>
              <w:spacing w:line="114" w:lineRule="exact" w:before="16"/>
              <w:ind w:right="15"/>
              <w:rPr>
                <w:b/>
                <w:sz w:val="11"/>
              </w:rPr>
            </w:pPr>
            <w:r>
              <w:rPr>
                <w:b/>
                <w:sz w:val="11"/>
              </w:rPr>
              <w:t>412.224,30</w:t>
            </w:r>
          </w:p>
        </w:tc>
        <w:tc>
          <w:tcPr>
            <w:tcW w:w="867" w:type="dxa"/>
          </w:tcPr>
          <w:p>
            <w:pPr>
              <w:pStyle w:val="TableParagraph"/>
              <w:spacing w:line="114" w:lineRule="exact" w:before="16"/>
              <w:ind w:right="16"/>
              <w:rPr>
                <w:b/>
                <w:sz w:val="11"/>
              </w:rPr>
            </w:pPr>
            <w:r>
              <w:rPr>
                <w:b/>
                <w:sz w:val="11"/>
              </w:rPr>
              <w:t>412.224,30</w:t>
            </w:r>
          </w:p>
        </w:tc>
        <w:tc>
          <w:tcPr>
            <w:tcW w:w="781" w:type="dxa"/>
          </w:tcPr>
          <w:p>
            <w:pPr>
              <w:pStyle w:val="TableParagraph"/>
              <w:spacing w:line="114" w:lineRule="exact" w:before="16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412.248,34</w:t>
            </w:r>
          </w:p>
        </w:tc>
        <w:tc>
          <w:tcPr>
            <w:tcW w:w="808" w:type="dxa"/>
          </w:tcPr>
          <w:p>
            <w:pPr>
              <w:pStyle w:val="TableParagraph"/>
              <w:spacing w:line="114" w:lineRule="exact" w:before="16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983.561,34</w:t>
            </w:r>
          </w:p>
        </w:tc>
        <w:tc>
          <w:tcPr>
            <w:tcW w:w="999" w:type="dxa"/>
          </w:tcPr>
          <w:p>
            <w:pPr>
              <w:pStyle w:val="TableParagraph"/>
              <w:spacing w:line="114" w:lineRule="exact" w:before="16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412.248,34</w:t>
            </w:r>
          </w:p>
        </w:tc>
        <w:tc>
          <w:tcPr>
            <w:tcW w:w="903" w:type="dxa"/>
          </w:tcPr>
          <w:p>
            <w:pPr>
              <w:pStyle w:val="TableParagraph"/>
              <w:spacing w:line="114" w:lineRule="exact" w:before="16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412.248,34</w:t>
            </w:r>
          </w:p>
        </w:tc>
        <w:tc>
          <w:tcPr>
            <w:tcW w:w="929" w:type="dxa"/>
          </w:tcPr>
          <w:p>
            <w:pPr>
              <w:pStyle w:val="TableParagraph"/>
              <w:spacing w:line="114" w:lineRule="exact" w:before="16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412.248,34</w:t>
            </w:r>
          </w:p>
        </w:tc>
        <w:tc>
          <w:tcPr>
            <w:tcW w:w="939" w:type="dxa"/>
          </w:tcPr>
          <w:p>
            <w:pPr>
              <w:pStyle w:val="TableParagraph"/>
              <w:spacing w:line="114" w:lineRule="exact" w:before="16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662.309,33</w:t>
            </w:r>
          </w:p>
        </w:tc>
      </w:tr>
      <w:tr>
        <w:trPr>
          <w:trHeight w:val="126" w:hRule="atLeast"/>
        </w:trPr>
        <w:tc>
          <w:tcPr>
            <w:tcW w:w="4772" w:type="dxa"/>
          </w:tcPr>
          <w:p>
            <w:pPr>
              <w:pStyle w:val="TableParagraph"/>
              <w:spacing w:line="102" w:lineRule="exact" w:before="4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Venta de bienes y prestación de servicios</w:t>
            </w:r>
          </w:p>
        </w:tc>
        <w:tc>
          <w:tcPr>
            <w:tcW w:w="1475" w:type="dxa"/>
          </w:tcPr>
          <w:p>
            <w:pPr>
              <w:pStyle w:val="TableParagraph"/>
              <w:spacing w:line="102" w:lineRule="exact" w:before="4"/>
              <w:ind w:right="13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886" w:type="dxa"/>
          </w:tcPr>
          <w:p>
            <w:pPr>
              <w:pStyle w:val="TableParagraph"/>
              <w:spacing w:line="102" w:lineRule="exact" w:before="4"/>
              <w:ind w:right="13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860" w:type="dxa"/>
          </w:tcPr>
          <w:p>
            <w:pPr>
              <w:pStyle w:val="TableParagraph"/>
              <w:spacing w:line="102" w:lineRule="exact" w:before="4"/>
              <w:ind w:right="14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841" w:type="dxa"/>
          </w:tcPr>
          <w:p>
            <w:pPr>
              <w:pStyle w:val="TableParagraph"/>
              <w:spacing w:line="102" w:lineRule="exact" w:before="4"/>
              <w:ind w:right="15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877" w:type="dxa"/>
          </w:tcPr>
          <w:p>
            <w:pPr>
              <w:pStyle w:val="TableParagraph"/>
              <w:spacing w:line="102" w:lineRule="exact" w:before="4"/>
              <w:ind w:right="15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867" w:type="dxa"/>
          </w:tcPr>
          <w:p>
            <w:pPr>
              <w:pStyle w:val="TableParagraph"/>
              <w:spacing w:line="102" w:lineRule="exact" w:before="4"/>
              <w:ind w:right="16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781" w:type="dxa"/>
          </w:tcPr>
          <w:p>
            <w:pPr>
              <w:pStyle w:val="TableParagraph"/>
              <w:spacing w:line="102" w:lineRule="exact" w:before="4"/>
              <w:ind w:right="17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808" w:type="dxa"/>
          </w:tcPr>
          <w:p>
            <w:pPr>
              <w:pStyle w:val="TableParagraph"/>
              <w:spacing w:line="102" w:lineRule="exact" w:before="4"/>
              <w:ind w:right="19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999" w:type="dxa"/>
          </w:tcPr>
          <w:p>
            <w:pPr>
              <w:pStyle w:val="TableParagraph"/>
              <w:spacing w:line="102" w:lineRule="exact" w:before="4"/>
              <w:ind w:right="19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903" w:type="dxa"/>
          </w:tcPr>
          <w:p>
            <w:pPr>
              <w:pStyle w:val="TableParagraph"/>
              <w:spacing w:line="102" w:lineRule="exact" w:before="4"/>
              <w:ind w:right="19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929" w:type="dxa"/>
          </w:tcPr>
          <w:p>
            <w:pPr>
              <w:pStyle w:val="TableParagraph"/>
              <w:spacing w:line="102" w:lineRule="exact" w:before="4"/>
              <w:ind w:right="19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  <w:tc>
          <w:tcPr>
            <w:tcW w:w="939" w:type="dxa"/>
          </w:tcPr>
          <w:p>
            <w:pPr>
              <w:pStyle w:val="TableParagraph"/>
              <w:spacing w:line="102" w:lineRule="exact" w:before="4"/>
              <w:ind w:right="20"/>
              <w:rPr>
                <w:sz w:val="11"/>
              </w:rPr>
            </w:pPr>
            <w:r>
              <w:rPr>
                <w:sz w:val="11"/>
              </w:rPr>
              <w:t>336.486,56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Tasas, precios públicos, contribuciones especiales y multas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</w:tr>
      <w:tr>
        <w:trPr>
          <w:trHeight w:val="261" w:hRule="atLeast"/>
        </w:trPr>
        <w:tc>
          <w:tcPr>
            <w:tcW w:w="4772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Subvenciones, transferencias y otras asignaciones o dotaciones</w:t>
            </w:r>
          </w:p>
          <w:p>
            <w:pPr>
              <w:pStyle w:val="TableParagraph"/>
              <w:spacing w:line="100" w:lineRule="exact" w:before="11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presupuestarias hechas el Gobierno o por otras entidades del sector público</w:t>
            </w:r>
          </w:p>
        </w:tc>
        <w:tc>
          <w:tcPr>
            <w:tcW w:w="1475" w:type="dxa"/>
          </w:tcPr>
          <w:p>
            <w:pPr>
              <w:pStyle w:val="TableParagraph"/>
              <w:spacing w:before="62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886" w:type="dxa"/>
          </w:tcPr>
          <w:p>
            <w:pPr>
              <w:pStyle w:val="TableParagraph"/>
              <w:spacing w:before="62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860" w:type="dxa"/>
          </w:tcPr>
          <w:p>
            <w:pPr>
              <w:pStyle w:val="TableParagraph"/>
              <w:spacing w:before="62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1.581.473,50</w:t>
            </w:r>
          </w:p>
        </w:tc>
        <w:tc>
          <w:tcPr>
            <w:tcW w:w="841" w:type="dxa"/>
          </w:tcPr>
          <w:p>
            <w:pPr>
              <w:pStyle w:val="TableParagraph"/>
              <w:spacing w:before="62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2.483.126,50</w:t>
            </w:r>
          </w:p>
        </w:tc>
        <w:tc>
          <w:tcPr>
            <w:tcW w:w="877" w:type="dxa"/>
          </w:tcPr>
          <w:p>
            <w:pPr>
              <w:pStyle w:val="TableParagraph"/>
              <w:spacing w:before="62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867" w:type="dxa"/>
          </w:tcPr>
          <w:p>
            <w:pPr>
              <w:pStyle w:val="TableParagraph"/>
              <w:spacing w:before="62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781" w:type="dxa"/>
          </w:tcPr>
          <w:p>
            <w:pPr>
              <w:pStyle w:val="TableParagraph"/>
              <w:spacing w:before="62"/>
              <w:ind w:right="21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808" w:type="dxa"/>
          </w:tcPr>
          <w:p>
            <w:pPr>
              <w:pStyle w:val="TableParagraph"/>
              <w:spacing w:before="62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636.178,50</w:t>
            </w:r>
          </w:p>
        </w:tc>
        <w:tc>
          <w:tcPr>
            <w:tcW w:w="999" w:type="dxa"/>
          </w:tcPr>
          <w:p>
            <w:pPr>
              <w:pStyle w:val="TableParagraph"/>
              <w:spacing w:before="62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903" w:type="dxa"/>
          </w:tcPr>
          <w:p>
            <w:pPr>
              <w:pStyle w:val="TableParagraph"/>
              <w:spacing w:before="62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929" w:type="dxa"/>
          </w:tcPr>
          <w:p>
            <w:pPr>
              <w:pStyle w:val="TableParagraph"/>
              <w:spacing w:before="62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64.865,50</w:t>
            </w:r>
          </w:p>
        </w:tc>
        <w:tc>
          <w:tcPr>
            <w:tcW w:w="939" w:type="dxa"/>
          </w:tcPr>
          <w:p>
            <w:pPr>
              <w:pStyle w:val="TableParagraph"/>
              <w:spacing w:before="62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282.950,50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Ingresos financieros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Otros ingresos por las actividades de operación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11.046,53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10.872,24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10.872,24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10.872,24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10.872,24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10.872,24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1"/>
              <w:rPr>
                <w:sz w:val="12"/>
              </w:rPr>
            </w:pPr>
            <w:r>
              <w:rPr>
                <w:w w:val="95"/>
                <w:sz w:val="12"/>
              </w:rPr>
              <w:t>10.896,28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10.896,28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10.896,28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10.896,28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10.896,28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42.872,27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Pagos:</w:t>
            </w:r>
          </w:p>
        </w:tc>
        <w:tc>
          <w:tcPr>
            <w:tcW w:w="1475" w:type="dxa"/>
          </w:tcPr>
          <w:p>
            <w:pPr>
              <w:pStyle w:val="TableParagraph"/>
              <w:spacing w:line="119" w:lineRule="exact" w:before="12"/>
              <w:ind w:right="49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886" w:type="dxa"/>
          </w:tcPr>
          <w:p>
            <w:pPr>
              <w:pStyle w:val="TableParagraph"/>
              <w:spacing w:line="119" w:lineRule="exact" w:before="12"/>
              <w:ind w:right="49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860" w:type="dxa"/>
          </w:tcPr>
          <w:p>
            <w:pPr>
              <w:pStyle w:val="TableParagraph"/>
              <w:spacing w:line="119" w:lineRule="exact" w:before="12"/>
              <w:ind w:right="50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841" w:type="dxa"/>
          </w:tcPr>
          <w:p>
            <w:pPr>
              <w:pStyle w:val="TableParagraph"/>
              <w:spacing w:line="119" w:lineRule="exact" w:before="12"/>
              <w:ind w:right="51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877" w:type="dxa"/>
          </w:tcPr>
          <w:p>
            <w:pPr>
              <w:pStyle w:val="TableParagraph"/>
              <w:spacing w:line="119" w:lineRule="exact" w:before="12"/>
              <w:ind w:right="51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867" w:type="dxa"/>
          </w:tcPr>
          <w:p>
            <w:pPr>
              <w:pStyle w:val="TableParagraph"/>
              <w:spacing w:line="119" w:lineRule="exact" w:before="12"/>
              <w:ind w:right="52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781" w:type="dxa"/>
          </w:tcPr>
          <w:p>
            <w:pPr>
              <w:pStyle w:val="TableParagraph"/>
              <w:spacing w:line="119" w:lineRule="exact" w:before="12"/>
              <w:ind w:right="53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808" w:type="dxa"/>
          </w:tcPr>
          <w:p>
            <w:pPr>
              <w:pStyle w:val="TableParagraph"/>
              <w:spacing w:line="119" w:lineRule="exact" w:before="12"/>
              <w:ind w:right="55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999" w:type="dxa"/>
          </w:tcPr>
          <w:p>
            <w:pPr>
              <w:pStyle w:val="TableParagraph"/>
              <w:spacing w:line="119" w:lineRule="exact" w:before="12"/>
              <w:ind w:right="55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903" w:type="dxa"/>
          </w:tcPr>
          <w:p>
            <w:pPr>
              <w:pStyle w:val="TableParagraph"/>
              <w:spacing w:line="119" w:lineRule="exact" w:before="12"/>
              <w:ind w:right="55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929" w:type="dxa"/>
          </w:tcPr>
          <w:p>
            <w:pPr>
              <w:pStyle w:val="TableParagraph"/>
              <w:spacing w:line="119" w:lineRule="exact" w:before="12"/>
              <w:ind w:right="55"/>
              <w:rPr>
                <w:b/>
                <w:sz w:val="11"/>
              </w:rPr>
            </w:pPr>
            <w:r>
              <w:rPr>
                <w:b/>
                <w:sz w:val="11"/>
              </w:rPr>
              <w:t>792.751,96</w:t>
            </w:r>
          </w:p>
        </w:tc>
        <w:tc>
          <w:tcPr>
            <w:tcW w:w="939" w:type="dxa"/>
          </w:tcPr>
          <w:p>
            <w:pPr>
              <w:pStyle w:val="TableParagraph"/>
              <w:spacing w:line="119" w:lineRule="exact" w:before="12"/>
              <w:ind w:right="56"/>
              <w:rPr>
                <w:b/>
                <w:sz w:val="11"/>
              </w:rPr>
            </w:pPr>
            <w:r>
              <w:rPr>
                <w:b/>
                <w:sz w:val="11"/>
              </w:rPr>
              <w:t>787.323,67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Compra de bienes y servicios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1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417.625,43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Tributos (Seg.Sociales e I.R.P.F.)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1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87.618,84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Gastos de Personal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1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269.443,40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Subvenciones y transferencias a otras entidades del sector público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Gastos financieros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2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4772" w:type="dxa"/>
          </w:tcPr>
          <w:p>
            <w:pPr>
              <w:pStyle w:val="TableParagraph"/>
              <w:spacing w:line="114" w:lineRule="exact" w:before="1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Otros pagos por las actividades de operación</w:t>
            </w:r>
          </w:p>
        </w:tc>
        <w:tc>
          <w:tcPr>
            <w:tcW w:w="1475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8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841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877" w:type="dxa"/>
          </w:tcPr>
          <w:p>
            <w:pPr>
              <w:pStyle w:val="TableParagraph"/>
              <w:spacing w:line="124" w:lineRule="exact"/>
              <w:ind w:right="19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20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781" w:type="dxa"/>
          </w:tcPr>
          <w:p>
            <w:pPr>
              <w:pStyle w:val="TableParagraph"/>
              <w:spacing w:line="124" w:lineRule="exact"/>
              <w:ind w:right="21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808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903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929" w:type="dxa"/>
          </w:tcPr>
          <w:p>
            <w:pPr>
              <w:pStyle w:val="TableParagraph"/>
              <w:spacing w:line="124" w:lineRule="exact"/>
              <w:ind w:right="23"/>
              <w:rPr>
                <w:sz w:val="12"/>
              </w:rPr>
            </w:pPr>
            <w:r>
              <w:rPr>
                <w:w w:val="95"/>
                <w:sz w:val="12"/>
              </w:rPr>
              <w:t>18.064,29</w:t>
            </w:r>
          </w:p>
        </w:tc>
        <w:tc>
          <w:tcPr>
            <w:tcW w:w="939" w:type="dxa"/>
          </w:tcPr>
          <w:p>
            <w:pPr>
              <w:pStyle w:val="TableParagraph"/>
              <w:spacing w:line="124" w:lineRule="exact"/>
              <w:ind w:right="24"/>
              <w:rPr>
                <w:sz w:val="12"/>
              </w:rPr>
            </w:pPr>
            <w:r>
              <w:rPr>
                <w:w w:val="95"/>
                <w:sz w:val="12"/>
              </w:rPr>
              <w:t>12.636,00</w:t>
            </w:r>
          </w:p>
        </w:tc>
      </w:tr>
      <w:tr>
        <w:trPr>
          <w:trHeight w:val="196" w:hRule="atLeast"/>
        </w:trPr>
        <w:tc>
          <w:tcPr>
            <w:tcW w:w="4772" w:type="dxa"/>
          </w:tcPr>
          <w:p>
            <w:pPr>
              <w:pStyle w:val="TableParagraph"/>
              <w:spacing w:before="39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Flujos netos de efectivo de las actividades de operación (Totales)</w:t>
            </w:r>
          </w:p>
        </w:tc>
        <w:tc>
          <w:tcPr>
            <w:tcW w:w="1475" w:type="dxa"/>
          </w:tcPr>
          <w:p>
            <w:pPr>
              <w:pStyle w:val="TableParagraph"/>
              <w:spacing w:before="36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-380.353,37</w:t>
            </w:r>
          </w:p>
        </w:tc>
        <w:tc>
          <w:tcPr>
            <w:tcW w:w="886" w:type="dxa"/>
          </w:tcPr>
          <w:p>
            <w:pPr>
              <w:pStyle w:val="TableParagraph"/>
              <w:spacing w:before="36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-380.527,66</w:t>
            </w:r>
          </w:p>
        </w:tc>
        <w:tc>
          <w:tcPr>
            <w:tcW w:w="860" w:type="dxa"/>
          </w:tcPr>
          <w:p>
            <w:pPr>
              <w:pStyle w:val="TableParagraph"/>
              <w:spacing w:before="36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1.136.080,34</w:t>
            </w:r>
          </w:p>
        </w:tc>
        <w:tc>
          <w:tcPr>
            <w:tcW w:w="841" w:type="dxa"/>
          </w:tcPr>
          <w:p>
            <w:pPr>
              <w:pStyle w:val="TableParagraph"/>
              <w:spacing w:before="36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2.037.733,34</w:t>
            </w:r>
          </w:p>
        </w:tc>
        <w:tc>
          <w:tcPr>
            <w:tcW w:w="877" w:type="dxa"/>
          </w:tcPr>
          <w:p>
            <w:pPr>
              <w:pStyle w:val="TableParagraph"/>
              <w:spacing w:before="36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-380.527,66</w:t>
            </w:r>
          </w:p>
        </w:tc>
        <w:tc>
          <w:tcPr>
            <w:tcW w:w="867" w:type="dxa"/>
          </w:tcPr>
          <w:p>
            <w:pPr>
              <w:pStyle w:val="TableParagraph"/>
              <w:spacing w:before="36"/>
              <w:ind w:right="21"/>
              <w:rPr>
                <w:b/>
                <w:sz w:val="11"/>
              </w:rPr>
            </w:pPr>
            <w:r>
              <w:rPr>
                <w:b/>
                <w:sz w:val="11"/>
              </w:rPr>
              <w:t>-380.527,66</w:t>
            </w:r>
          </w:p>
        </w:tc>
        <w:tc>
          <w:tcPr>
            <w:tcW w:w="781" w:type="dxa"/>
          </w:tcPr>
          <w:p>
            <w:pPr>
              <w:pStyle w:val="TableParagraph"/>
              <w:spacing w:before="36"/>
              <w:ind w:right="22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808" w:type="dxa"/>
          </w:tcPr>
          <w:p>
            <w:pPr>
              <w:pStyle w:val="TableParagraph"/>
              <w:spacing w:before="36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190.809,38</w:t>
            </w:r>
          </w:p>
        </w:tc>
        <w:tc>
          <w:tcPr>
            <w:tcW w:w="999" w:type="dxa"/>
          </w:tcPr>
          <w:p>
            <w:pPr>
              <w:pStyle w:val="TableParagraph"/>
              <w:spacing w:before="36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903" w:type="dxa"/>
          </w:tcPr>
          <w:p>
            <w:pPr>
              <w:pStyle w:val="TableParagraph"/>
              <w:spacing w:before="36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929" w:type="dxa"/>
          </w:tcPr>
          <w:p>
            <w:pPr>
              <w:pStyle w:val="TableParagraph"/>
              <w:spacing w:before="36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939" w:type="dxa"/>
          </w:tcPr>
          <w:p>
            <w:pPr>
              <w:pStyle w:val="TableParagraph"/>
              <w:spacing w:before="36"/>
              <w:ind w:right="25"/>
              <w:rPr>
                <w:b/>
                <w:sz w:val="11"/>
              </w:rPr>
            </w:pPr>
            <w:r>
              <w:rPr>
                <w:b/>
                <w:sz w:val="11"/>
              </w:rPr>
              <w:t>-125.014,34</w:t>
            </w:r>
          </w:p>
        </w:tc>
      </w:tr>
      <w:tr>
        <w:trPr>
          <w:trHeight w:val="196" w:hRule="atLeast"/>
        </w:trPr>
        <w:tc>
          <w:tcPr>
            <w:tcW w:w="4772" w:type="dxa"/>
          </w:tcPr>
          <w:p>
            <w:pPr>
              <w:pStyle w:val="TableParagraph"/>
              <w:spacing w:before="38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CONCEPTOS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38"/>
              <w:ind w:left="542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ENERO</w:t>
            </w:r>
          </w:p>
        </w:tc>
        <w:tc>
          <w:tcPr>
            <w:tcW w:w="886" w:type="dxa"/>
          </w:tcPr>
          <w:p>
            <w:pPr>
              <w:pStyle w:val="TableParagraph"/>
              <w:spacing w:before="38"/>
              <w:ind w:left="173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FEBRERO</w:t>
            </w:r>
          </w:p>
        </w:tc>
        <w:tc>
          <w:tcPr>
            <w:tcW w:w="860" w:type="dxa"/>
          </w:tcPr>
          <w:p>
            <w:pPr>
              <w:pStyle w:val="TableParagraph"/>
              <w:spacing w:before="38"/>
              <w:ind w:left="231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MARZO</w:t>
            </w:r>
          </w:p>
        </w:tc>
        <w:tc>
          <w:tcPr>
            <w:tcW w:w="841" w:type="dxa"/>
          </w:tcPr>
          <w:p>
            <w:pPr>
              <w:pStyle w:val="TableParagraph"/>
              <w:spacing w:before="38"/>
              <w:ind w:left="254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ABRIL</w:t>
            </w:r>
          </w:p>
        </w:tc>
        <w:tc>
          <w:tcPr>
            <w:tcW w:w="877" w:type="dxa"/>
          </w:tcPr>
          <w:p>
            <w:pPr>
              <w:pStyle w:val="TableParagraph"/>
              <w:spacing w:before="38"/>
              <w:ind w:left="275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MAYO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64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JUNIO</w:t>
            </w:r>
          </w:p>
        </w:tc>
        <w:tc>
          <w:tcPr>
            <w:tcW w:w="781" w:type="dxa"/>
          </w:tcPr>
          <w:p>
            <w:pPr>
              <w:pStyle w:val="TableParagraph"/>
              <w:spacing w:before="38"/>
              <w:ind w:left="225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JULIO</w:t>
            </w:r>
          </w:p>
        </w:tc>
        <w:tc>
          <w:tcPr>
            <w:tcW w:w="808" w:type="dxa"/>
          </w:tcPr>
          <w:p>
            <w:pPr>
              <w:pStyle w:val="TableParagraph"/>
              <w:spacing w:before="38"/>
              <w:ind w:left="159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AGOSTO</w:t>
            </w:r>
          </w:p>
        </w:tc>
        <w:tc>
          <w:tcPr>
            <w:tcW w:w="999" w:type="dxa"/>
          </w:tcPr>
          <w:p>
            <w:pPr>
              <w:pStyle w:val="TableParagraph"/>
              <w:spacing w:before="38"/>
              <w:ind w:left="134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SEPTIEMBRE</w:t>
            </w:r>
          </w:p>
        </w:tc>
        <w:tc>
          <w:tcPr>
            <w:tcW w:w="903" w:type="dxa"/>
          </w:tcPr>
          <w:p>
            <w:pPr>
              <w:pStyle w:val="TableParagraph"/>
              <w:spacing w:before="38"/>
              <w:ind w:left="172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OCTUBRE</w:t>
            </w:r>
          </w:p>
        </w:tc>
        <w:tc>
          <w:tcPr>
            <w:tcW w:w="929" w:type="dxa"/>
          </w:tcPr>
          <w:p>
            <w:pPr>
              <w:pStyle w:val="TableParagraph"/>
              <w:spacing w:before="38"/>
              <w:ind w:left="1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NOVIEMBRE</w:t>
            </w:r>
          </w:p>
        </w:tc>
        <w:tc>
          <w:tcPr>
            <w:tcW w:w="939" w:type="dxa"/>
          </w:tcPr>
          <w:p>
            <w:pPr>
              <w:pStyle w:val="TableParagraph"/>
              <w:spacing w:before="38"/>
              <w:ind w:left="157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DICIEMBRE</w:t>
            </w:r>
          </w:p>
        </w:tc>
      </w:tr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before="96"/>
              <w:ind w:left="26"/>
              <w:jc w:val="left"/>
              <w:rPr>
                <w:sz w:val="11"/>
              </w:rPr>
            </w:pPr>
            <w:r>
              <w:rPr>
                <w:sz w:val="11"/>
                <w:u w:val="single"/>
              </w:rPr>
              <w:t>FLUJOS DE EFECTIVO DE LAS ACTIVIDADES DE INVERSIÓN</w:t>
            </w:r>
            <w:r>
              <w:rPr>
                <w:sz w:val="11"/>
              </w:rPr>
              <w:t>:</w:t>
            </w:r>
          </w:p>
        </w:tc>
        <w:tc>
          <w:tcPr>
            <w:tcW w:w="147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0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96" w:hRule="atLeast"/>
        </w:trPr>
        <w:tc>
          <w:tcPr>
            <w:tcW w:w="4772" w:type="dxa"/>
          </w:tcPr>
          <w:p>
            <w:pPr>
              <w:pStyle w:val="TableParagraph"/>
              <w:spacing w:before="3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Pagos por adquisición de inmovilizado material, inmaterial y otros activos a largo plazo</w:t>
            </w:r>
          </w:p>
        </w:tc>
        <w:tc>
          <w:tcPr>
            <w:tcW w:w="1475" w:type="dxa"/>
          </w:tcPr>
          <w:p>
            <w:pPr>
              <w:pStyle w:val="TableParagraph"/>
              <w:spacing w:before="36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6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6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6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6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6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6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6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96" w:hRule="atLeast"/>
        </w:trPr>
        <w:tc>
          <w:tcPr>
            <w:tcW w:w="4772" w:type="dxa"/>
          </w:tcPr>
          <w:p>
            <w:pPr>
              <w:pStyle w:val="TableParagraph"/>
              <w:spacing w:before="3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Cobros por la venta de inmovilizado material, inmaterial y otros activos a largo plazo</w:t>
            </w:r>
          </w:p>
        </w:tc>
        <w:tc>
          <w:tcPr>
            <w:tcW w:w="1475" w:type="dxa"/>
          </w:tcPr>
          <w:p>
            <w:pPr>
              <w:pStyle w:val="TableParagraph"/>
              <w:spacing w:before="36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6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6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6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6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6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6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6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line="130" w:lineRule="atLeast" w:before="22"/>
              <w:ind w:left="26" w:right="775"/>
              <w:jc w:val="left"/>
              <w:rPr>
                <w:sz w:val="11"/>
              </w:rPr>
            </w:pPr>
            <w:r>
              <w:rPr>
                <w:sz w:val="11"/>
              </w:rPr>
              <w:t>Pagos por adquisición de instrumentos de pasivo o de capital emitidos por otras empresas, así como participaciones en negocios conjuntos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9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9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9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9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4772" w:type="dxa"/>
          </w:tcPr>
          <w:p>
            <w:pPr>
              <w:pStyle w:val="TableParagraph"/>
              <w:spacing w:line="259" w:lineRule="auto" w:before="67"/>
              <w:ind w:left="26" w:right="775"/>
              <w:jc w:val="left"/>
              <w:rPr>
                <w:sz w:val="11"/>
              </w:rPr>
            </w:pPr>
            <w:r>
              <w:rPr>
                <w:sz w:val="11"/>
              </w:rPr>
              <w:t>Cobros por venta y reembolso de instrumentos de pasivo o de capital emitidos por otras empresas, así como inversiones en negocios conjuntos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5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line="130" w:lineRule="atLeast" w:before="22"/>
              <w:ind w:left="26" w:right="775"/>
              <w:jc w:val="left"/>
              <w:rPr>
                <w:sz w:val="11"/>
              </w:rPr>
            </w:pPr>
            <w:r>
              <w:rPr>
                <w:sz w:val="11"/>
              </w:rPr>
              <w:t>Pagos por anticipos de efectivo y préstamos a terceros (distintos de las operaciones de este tipo hechas por entidades financieras)</w:t>
            </w:r>
          </w:p>
        </w:tc>
        <w:tc>
          <w:tcPr>
            <w:tcW w:w="1475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9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9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9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9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line="130" w:lineRule="atLeast" w:before="22"/>
              <w:ind w:left="26" w:right="775"/>
              <w:jc w:val="left"/>
              <w:rPr>
                <w:sz w:val="11"/>
              </w:rPr>
            </w:pPr>
            <w:r>
              <w:rPr>
                <w:sz w:val="11"/>
              </w:rPr>
              <w:t>Cobros derivados del reembolso de anticipos de efectivo y préstamos a terceros (distintos de las operaciones de este tipo hechas por entidades financieras)</w:t>
            </w:r>
          </w:p>
        </w:tc>
        <w:tc>
          <w:tcPr>
            <w:tcW w:w="1475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9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9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9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9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96" w:hRule="atLeast"/>
        </w:trPr>
        <w:tc>
          <w:tcPr>
            <w:tcW w:w="4772" w:type="dxa"/>
          </w:tcPr>
          <w:p>
            <w:pPr>
              <w:pStyle w:val="TableParagraph"/>
              <w:spacing w:before="38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Pagos derivados de contratos con instrumentos financieros derivados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36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6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6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6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6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6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6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6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6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772" w:type="dxa"/>
          </w:tcPr>
          <w:p>
            <w:pPr>
              <w:pStyle w:val="TableParagraph"/>
              <w:spacing w:before="36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Cobros derivados de contratos con instrumentos financieros derivados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3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82" w:hRule="atLeast"/>
        </w:trPr>
        <w:tc>
          <w:tcPr>
            <w:tcW w:w="4772" w:type="dxa"/>
          </w:tcPr>
          <w:p>
            <w:pPr>
              <w:pStyle w:val="TableParagraph"/>
              <w:spacing w:before="31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Flujos netos de efectivo de las actividades de inversión (Totales)</w:t>
            </w:r>
          </w:p>
        </w:tc>
        <w:tc>
          <w:tcPr>
            <w:tcW w:w="1475" w:type="dxa"/>
          </w:tcPr>
          <w:p>
            <w:pPr>
              <w:pStyle w:val="TableParagraph"/>
              <w:spacing w:before="28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8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8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28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28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28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28"/>
              <w:ind w:right="21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28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28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28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28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28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4772" w:type="dxa"/>
          </w:tcPr>
          <w:p>
            <w:pPr>
              <w:pStyle w:val="TableParagraph"/>
              <w:spacing w:before="43"/>
              <w:ind w:left="26"/>
              <w:jc w:val="left"/>
              <w:rPr>
                <w:sz w:val="11"/>
              </w:rPr>
            </w:pPr>
            <w:r>
              <w:rPr>
                <w:sz w:val="11"/>
                <w:u w:val="single"/>
              </w:rPr>
              <w:t>CONCEPTOS</w:t>
            </w:r>
          </w:p>
        </w:tc>
        <w:tc>
          <w:tcPr>
            <w:tcW w:w="1475" w:type="dxa"/>
          </w:tcPr>
          <w:p>
            <w:pPr>
              <w:pStyle w:val="TableParagraph"/>
              <w:spacing w:before="43"/>
              <w:ind w:left="542"/>
              <w:jc w:val="left"/>
              <w:rPr>
                <w:sz w:val="11"/>
              </w:rPr>
            </w:pPr>
            <w:r>
              <w:rPr>
                <w:sz w:val="11"/>
              </w:rPr>
              <w:t>ENERO</w:t>
            </w:r>
          </w:p>
        </w:tc>
        <w:tc>
          <w:tcPr>
            <w:tcW w:w="886" w:type="dxa"/>
          </w:tcPr>
          <w:p>
            <w:pPr>
              <w:pStyle w:val="TableParagraph"/>
              <w:spacing w:before="43"/>
              <w:ind w:left="176"/>
              <w:jc w:val="left"/>
              <w:rPr>
                <w:sz w:val="11"/>
              </w:rPr>
            </w:pPr>
            <w:r>
              <w:rPr>
                <w:sz w:val="11"/>
              </w:rPr>
              <w:t>FEBRERO</w:t>
            </w:r>
          </w:p>
        </w:tc>
        <w:tc>
          <w:tcPr>
            <w:tcW w:w="860" w:type="dxa"/>
          </w:tcPr>
          <w:p>
            <w:pPr>
              <w:pStyle w:val="TableParagraph"/>
              <w:spacing w:before="43"/>
              <w:ind w:left="231"/>
              <w:jc w:val="left"/>
              <w:rPr>
                <w:sz w:val="11"/>
              </w:rPr>
            </w:pPr>
            <w:r>
              <w:rPr>
                <w:sz w:val="11"/>
              </w:rPr>
              <w:t>MARZO</w:t>
            </w:r>
          </w:p>
        </w:tc>
        <w:tc>
          <w:tcPr>
            <w:tcW w:w="841" w:type="dxa"/>
          </w:tcPr>
          <w:p>
            <w:pPr>
              <w:pStyle w:val="TableParagraph"/>
              <w:spacing w:before="43"/>
              <w:ind w:left="258"/>
              <w:jc w:val="left"/>
              <w:rPr>
                <w:sz w:val="11"/>
              </w:rPr>
            </w:pPr>
            <w:r>
              <w:rPr>
                <w:sz w:val="11"/>
              </w:rPr>
              <w:t>ABRIL</w:t>
            </w:r>
          </w:p>
        </w:tc>
        <w:tc>
          <w:tcPr>
            <w:tcW w:w="877" w:type="dxa"/>
          </w:tcPr>
          <w:p>
            <w:pPr>
              <w:pStyle w:val="TableParagraph"/>
              <w:spacing w:before="43"/>
              <w:ind w:left="275"/>
              <w:jc w:val="left"/>
              <w:rPr>
                <w:sz w:val="11"/>
              </w:rPr>
            </w:pPr>
            <w:r>
              <w:rPr>
                <w:sz w:val="11"/>
              </w:rPr>
              <w:t>MAYO</w:t>
            </w:r>
          </w:p>
        </w:tc>
        <w:tc>
          <w:tcPr>
            <w:tcW w:w="867" w:type="dxa"/>
          </w:tcPr>
          <w:p>
            <w:pPr>
              <w:pStyle w:val="TableParagraph"/>
              <w:spacing w:before="43"/>
              <w:ind w:left="266"/>
              <w:jc w:val="left"/>
              <w:rPr>
                <w:sz w:val="11"/>
              </w:rPr>
            </w:pPr>
            <w:r>
              <w:rPr>
                <w:sz w:val="11"/>
              </w:rPr>
              <w:t>JUNIO</w:t>
            </w:r>
          </w:p>
        </w:tc>
        <w:tc>
          <w:tcPr>
            <w:tcW w:w="781" w:type="dxa"/>
          </w:tcPr>
          <w:p>
            <w:pPr>
              <w:pStyle w:val="TableParagraph"/>
              <w:spacing w:before="43"/>
              <w:ind w:left="230"/>
              <w:jc w:val="left"/>
              <w:rPr>
                <w:sz w:val="11"/>
              </w:rPr>
            </w:pPr>
            <w:r>
              <w:rPr>
                <w:sz w:val="11"/>
              </w:rPr>
              <w:t>JULIO</w:t>
            </w:r>
          </w:p>
        </w:tc>
        <w:tc>
          <w:tcPr>
            <w:tcW w:w="808" w:type="dxa"/>
          </w:tcPr>
          <w:p>
            <w:pPr>
              <w:pStyle w:val="TableParagraph"/>
              <w:spacing w:before="43"/>
              <w:ind w:left="162"/>
              <w:jc w:val="left"/>
              <w:rPr>
                <w:sz w:val="11"/>
              </w:rPr>
            </w:pPr>
            <w:r>
              <w:rPr>
                <w:sz w:val="11"/>
              </w:rPr>
              <w:t>AGOSTO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ind w:left="139"/>
              <w:jc w:val="left"/>
              <w:rPr>
                <w:sz w:val="11"/>
              </w:rPr>
            </w:pPr>
            <w:r>
              <w:rPr>
                <w:sz w:val="11"/>
              </w:rPr>
              <w:t>SEPTIEMBRE</w:t>
            </w:r>
          </w:p>
        </w:tc>
        <w:tc>
          <w:tcPr>
            <w:tcW w:w="903" w:type="dxa"/>
          </w:tcPr>
          <w:p>
            <w:pPr>
              <w:pStyle w:val="TableParagraph"/>
              <w:spacing w:before="43"/>
              <w:ind w:left="175"/>
              <w:jc w:val="left"/>
              <w:rPr>
                <w:sz w:val="11"/>
              </w:rPr>
            </w:pPr>
            <w:r>
              <w:rPr>
                <w:sz w:val="11"/>
              </w:rPr>
              <w:t>OCTUBRE</w:t>
            </w:r>
          </w:p>
        </w:tc>
        <w:tc>
          <w:tcPr>
            <w:tcW w:w="929" w:type="dxa"/>
          </w:tcPr>
          <w:p>
            <w:pPr>
              <w:pStyle w:val="TableParagraph"/>
              <w:spacing w:before="43"/>
              <w:ind w:left="128"/>
              <w:jc w:val="left"/>
              <w:rPr>
                <w:sz w:val="11"/>
              </w:rPr>
            </w:pPr>
            <w:r>
              <w:rPr>
                <w:sz w:val="11"/>
              </w:rPr>
              <w:t>NOVIEMBRE</w:t>
            </w:r>
          </w:p>
        </w:tc>
        <w:tc>
          <w:tcPr>
            <w:tcW w:w="939" w:type="dxa"/>
          </w:tcPr>
          <w:p>
            <w:pPr>
              <w:pStyle w:val="TableParagraph"/>
              <w:spacing w:before="43"/>
              <w:ind w:left="159"/>
              <w:jc w:val="left"/>
              <w:rPr>
                <w:sz w:val="11"/>
              </w:rPr>
            </w:pPr>
            <w:r>
              <w:rPr>
                <w:sz w:val="11"/>
              </w:rPr>
              <w:t>DICIEMBRE</w:t>
            </w:r>
          </w:p>
        </w:tc>
      </w:tr>
      <w:tr>
        <w:trPr>
          <w:trHeight w:val="158" w:hRule="atLeast"/>
        </w:trPr>
        <w:tc>
          <w:tcPr>
            <w:tcW w:w="4772" w:type="dxa"/>
          </w:tcPr>
          <w:p>
            <w:pPr>
              <w:pStyle w:val="TableParagraph"/>
              <w:spacing w:line="107" w:lineRule="exact" w:before="31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FLUJOS DE EFECTIVO DE LAS ACTIVIDADES DE FINANCIACIÓN</w:t>
            </w:r>
          </w:p>
        </w:tc>
        <w:tc>
          <w:tcPr>
            <w:tcW w:w="147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0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1" w:hRule="atLeast"/>
        </w:trPr>
        <w:tc>
          <w:tcPr>
            <w:tcW w:w="4772" w:type="dxa"/>
          </w:tcPr>
          <w:p>
            <w:pPr>
              <w:pStyle w:val="TableParagraph"/>
              <w:spacing w:before="28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Cobros procedentes de la emisión de acciones u otros instrumentos de capital</w:t>
            </w:r>
          </w:p>
        </w:tc>
        <w:tc>
          <w:tcPr>
            <w:tcW w:w="1475" w:type="dxa"/>
          </w:tcPr>
          <w:p>
            <w:pPr>
              <w:pStyle w:val="TableParagraph"/>
              <w:spacing w:before="28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8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8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28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28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28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28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28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28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28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28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28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772" w:type="dxa"/>
          </w:tcPr>
          <w:p>
            <w:pPr>
              <w:pStyle w:val="TableParagraph"/>
              <w:spacing w:before="31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Pagos a los propietarios por adquirir o rescatar las acciones de la empresa</w:t>
            </w:r>
          </w:p>
        </w:tc>
        <w:tc>
          <w:tcPr>
            <w:tcW w:w="1475" w:type="dxa"/>
          </w:tcPr>
          <w:p>
            <w:pPr>
              <w:pStyle w:val="TableParagraph"/>
              <w:spacing w:before="3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772" w:type="dxa"/>
          </w:tcPr>
          <w:p>
            <w:pPr>
              <w:pStyle w:val="TableParagraph"/>
              <w:spacing w:line="130" w:lineRule="atLeast" w:before="22"/>
              <w:ind w:left="26" w:right="1295"/>
              <w:jc w:val="left"/>
              <w:rPr>
                <w:sz w:val="11"/>
              </w:rPr>
            </w:pPr>
            <w:r>
              <w:rPr>
                <w:sz w:val="11"/>
              </w:rPr>
              <w:t>Cobros procedentes de la emisión de bonos, obligaciones, préstamos y otros fondos tomados en préstamo, ya sea a largo o a corto plazo</w:t>
            </w:r>
          </w:p>
        </w:tc>
        <w:tc>
          <w:tcPr>
            <w:tcW w:w="1475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9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9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9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9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9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9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9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772" w:type="dxa"/>
          </w:tcPr>
          <w:p>
            <w:pPr>
              <w:pStyle w:val="TableParagraph"/>
              <w:spacing w:before="31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Pagos por reembolso de los fondos tomados a préstamo</w:t>
            </w:r>
          </w:p>
        </w:tc>
        <w:tc>
          <w:tcPr>
            <w:tcW w:w="1475" w:type="dxa"/>
          </w:tcPr>
          <w:p>
            <w:pPr>
              <w:pStyle w:val="TableParagraph"/>
              <w:spacing w:before="3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1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1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1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1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1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1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1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72" w:hRule="atLeast"/>
        </w:trPr>
        <w:tc>
          <w:tcPr>
            <w:tcW w:w="4772" w:type="dxa"/>
          </w:tcPr>
          <w:p>
            <w:pPr>
              <w:pStyle w:val="TableParagraph"/>
              <w:spacing w:before="24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Pagos realizados para reducir la deuda pendiente procedente de un arrendamiento financiero</w:t>
            </w:r>
          </w:p>
        </w:tc>
        <w:tc>
          <w:tcPr>
            <w:tcW w:w="1475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4"/>
              <w:ind w:right="17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24"/>
              <w:ind w:right="18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24"/>
              <w:ind w:right="19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24"/>
              <w:ind w:right="20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24"/>
              <w:ind w:right="21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24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24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24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24"/>
              <w:ind w:right="23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24"/>
              <w:ind w:right="24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772" w:type="dxa"/>
          </w:tcPr>
          <w:p>
            <w:pPr>
              <w:pStyle w:val="TableParagraph"/>
              <w:spacing w:before="31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Flujos netos de efectivo de las actividades de financiación (Totales)</w:t>
            </w:r>
          </w:p>
        </w:tc>
        <w:tc>
          <w:tcPr>
            <w:tcW w:w="1475" w:type="dxa"/>
          </w:tcPr>
          <w:p>
            <w:pPr>
              <w:pStyle w:val="TableParagraph"/>
              <w:spacing w:before="31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31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1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41" w:type="dxa"/>
          </w:tcPr>
          <w:p>
            <w:pPr>
              <w:pStyle w:val="TableParagraph"/>
              <w:spacing w:before="31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1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67" w:type="dxa"/>
          </w:tcPr>
          <w:p>
            <w:pPr>
              <w:pStyle w:val="TableParagraph"/>
              <w:spacing w:before="31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781" w:type="dxa"/>
          </w:tcPr>
          <w:p>
            <w:pPr>
              <w:pStyle w:val="TableParagraph"/>
              <w:spacing w:before="31"/>
              <w:ind w:right="21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808" w:type="dxa"/>
          </w:tcPr>
          <w:p>
            <w:pPr>
              <w:pStyle w:val="TableParagraph"/>
              <w:spacing w:before="31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1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03" w:type="dxa"/>
          </w:tcPr>
          <w:p>
            <w:pPr>
              <w:pStyle w:val="TableParagraph"/>
              <w:spacing w:before="31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1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772" w:type="dxa"/>
          </w:tcPr>
          <w:p>
            <w:pPr>
              <w:pStyle w:val="TableParagraph"/>
              <w:spacing w:before="31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Incremento/Disminución neta en el efectivo y equivaientes al efectivo</w:t>
            </w:r>
          </w:p>
        </w:tc>
        <w:tc>
          <w:tcPr>
            <w:tcW w:w="1475" w:type="dxa"/>
          </w:tcPr>
          <w:p>
            <w:pPr>
              <w:pStyle w:val="TableParagraph"/>
              <w:spacing w:before="31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-380.353,37</w:t>
            </w:r>
          </w:p>
        </w:tc>
        <w:tc>
          <w:tcPr>
            <w:tcW w:w="886" w:type="dxa"/>
          </w:tcPr>
          <w:p>
            <w:pPr>
              <w:pStyle w:val="TableParagraph"/>
              <w:spacing w:before="31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-380.527,66</w:t>
            </w:r>
          </w:p>
        </w:tc>
        <w:tc>
          <w:tcPr>
            <w:tcW w:w="860" w:type="dxa"/>
          </w:tcPr>
          <w:p>
            <w:pPr>
              <w:pStyle w:val="TableParagraph"/>
              <w:spacing w:before="31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1.136.080,34</w:t>
            </w:r>
          </w:p>
        </w:tc>
        <w:tc>
          <w:tcPr>
            <w:tcW w:w="841" w:type="dxa"/>
          </w:tcPr>
          <w:p>
            <w:pPr>
              <w:pStyle w:val="TableParagraph"/>
              <w:spacing w:before="31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2.037.733,34</w:t>
            </w:r>
          </w:p>
        </w:tc>
        <w:tc>
          <w:tcPr>
            <w:tcW w:w="877" w:type="dxa"/>
          </w:tcPr>
          <w:p>
            <w:pPr>
              <w:pStyle w:val="TableParagraph"/>
              <w:spacing w:before="31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-380.527,66</w:t>
            </w:r>
          </w:p>
        </w:tc>
        <w:tc>
          <w:tcPr>
            <w:tcW w:w="867" w:type="dxa"/>
          </w:tcPr>
          <w:p>
            <w:pPr>
              <w:pStyle w:val="TableParagraph"/>
              <w:spacing w:before="31"/>
              <w:ind w:right="21"/>
              <w:rPr>
                <w:b/>
                <w:sz w:val="11"/>
              </w:rPr>
            </w:pPr>
            <w:r>
              <w:rPr>
                <w:b/>
                <w:sz w:val="11"/>
              </w:rPr>
              <w:t>-380.527,66</w:t>
            </w:r>
          </w:p>
        </w:tc>
        <w:tc>
          <w:tcPr>
            <w:tcW w:w="781" w:type="dxa"/>
          </w:tcPr>
          <w:p>
            <w:pPr>
              <w:pStyle w:val="TableParagraph"/>
              <w:spacing w:before="31"/>
              <w:ind w:right="22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808" w:type="dxa"/>
          </w:tcPr>
          <w:p>
            <w:pPr>
              <w:pStyle w:val="TableParagraph"/>
              <w:spacing w:before="31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190.809,38</w:t>
            </w:r>
          </w:p>
        </w:tc>
        <w:tc>
          <w:tcPr>
            <w:tcW w:w="999" w:type="dxa"/>
          </w:tcPr>
          <w:p>
            <w:pPr>
              <w:pStyle w:val="TableParagraph"/>
              <w:spacing w:before="31"/>
              <w:ind w:right="23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903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929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-380.503,62</w:t>
            </w:r>
          </w:p>
        </w:tc>
        <w:tc>
          <w:tcPr>
            <w:tcW w:w="939" w:type="dxa"/>
          </w:tcPr>
          <w:p>
            <w:pPr>
              <w:pStyle w:val="TableParagraph"/>
              <w:spacing w:before="31"/>
              <w:ind w:right="25"/>
              <w:rPr>
                <w:b/>
                <w:sz w:val="11"/>
              </w:rPr>
            </w:pPr>
            <w:r>
              <w:rPr>
                <w:b/>
                <w:sz w:val="11"/>
              </w:rPr>
              <w:t>-125.014,34</w:t>
            </w:r>
          </w:p>
        </w:tc>
      </w:tr>
      <w:tr>
        <w:trPr>
          <w:trHeight w:val="189" w:hRule="atLeast"/>
        </w:trPr>
        <w:tc>
          <w:tcPr>
            <w:tcW w:w="4772" w:type="dxa"/>
          </w:tcPr>
          <w:p>
            <w:pPr>
              <w:pStyle w:val="TableParagraph"/>
              <w:spacing w:before="36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Efectivo y equivalentes al efectivo al inicio del periodo</w:t>
            </w:r>
          </w:p>
        </w:tc>
        <w:tc>
          <w:tcPr>
            <w:tcW w:w="1475" w:type="dxa"/>
          </w:tcPr>
          <w:p>
            <w:pPr>
              <w:pStyle w:val="TableParagraph"/>
              <w:spacing w:before="31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1.004.340,23</w:t>
            </w:r>
          </w:p>
        </w:tc>
        <w:tc>
          <w:tcPr>
            <w:tcW w:w="886" w:type="dxa"/>
          </w:tcPr>
          <w:p>
            <w:pPr>
              <w:pStyle w:val="TableParagraph"/>
              <w:spacing w:before="31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623.986,86</w:t>
            </w:r>
          </w:p>
        </w:tc>
        <w:tc>
          <w:tcPr>
            <w:tcW w:w="860" w:type="dxa"/>
          </w:tcPr>
          <w:p>
            <w:pPr>
              <w:pStyle w:val="TableParagraph"/>
              <w:spacing w:before="31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243.459,21</w:t>
            </w:r>
          </w:p>
        </w:tc>
        <w:tc>
          <w:tcPr>
            <w:tcW w:w="841" w:type="dxa"/>
          </w:tcPr>
          <w:p>
            <w:pPr>
              <w:pStyle w:val="TableParagraph"/>
              <w:spacing w:before="31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1.379.539,55</w:t>
            </w:r>
          </w:p>
        </w:tc>
        <w:tc>
          <w:tcPr>
            <w:tcW w:w="877" w:type="dxa"/>
          </w:tcPr>
          <w:p>
            <w:pPr>
              <w:pStyle w:val="TableParagraph"/>
              <w:spacing w:before="31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3.417.272,89</w:t>
            </w:r>
          </w:p>
        </w:tc>
        <w:tc>
          <w:tcPr>
            <w:tcW w:w="867" w:type="dxa"/>
          </w:tcPr>
          <w:p>
            <w:pPr>
              <w:pStyle w:val="TableParagraph"/>
              <w:spacing w:before="31"/>
              <w:ind w:right="21"/>
              <w:rPr>
                <w:b/>
                <w:sz w:val="11"/>
              </w:rPr>
            </w:pPr>
            <w:r>
              <w:rPr>
                <w:b/>
                <w:sz w:val="11"/>
              </w:rPr>
              <w:t>3.036.745,23</w:t>
            </w:r>
          </w:p>
        </w:tc>
        <w:tc>
          <w:tcPr>
            <w:tcW w:w="781" w:type="dxa"/>
          </w:tcPr>
          <w:p>
            <w:pPr>
              <w:pStyle w:val="TableParagraph"/>
              <w:spacing w:before="31"/>
              <w:ind w:right="22"/>
              <w:rPr>
                <w:b/>
                <w:sz w:val="11"/>
              </w:rPr>
            </w:pPr>
            <w:r>
              <w:rPr>
                <w:b/>
                <w:sz w:val="11"/>
              </w:rPr>
              <w:t>2.656.217,58</w:t>
            </w:r>
          </w:p>
        </w:tc>
        <w:tc>
          <w:tcPr>
            <w:tcW w:w="808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2.275.713,96</w:t>
            </w:r>
          </w:p>
        </w:tc>
        <w:tc>
          <w:tcPr>
            <w:tcW w:w="999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2.466.523,34</w:t>
            </w:r>
          </w:p>
        </w:tc>
        <w:tc>
          <w:tcPr>
            <w:tcW w:w="903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2.086.019,72</w:t>
            </w:r>
          </w:p>
        </w:tc>
        <w:tc>
          <w:tcPr>
            <w:tcW w:w="929" w:type="dxa"/>
          </w:tcPr>
          <w:p>
            <w:pPr>
              <w:pStyle w:val="TableParagraph"/>
              <w:spacing w:before="31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1.705.516,11</w:t>
            </w:r>
          </w:p>
        </w:tc>
        <w:tc>
          <w:tcPr>
            <w:tcW w:w="939" w:type="dxa"/>
          </w:tcPr>
          <w:p>
            <w:pPr>
              <w:pStyle w:val="TableParagraph"/>
              <w:spacing w:before="31"/>
              <w:ind w:right="25"/>
              <w:rPr>
                <w:b/>
                <w:sz w:val="11"/>
              </w:rPr>
            </w:pPr>
            <w:r>
              <w:rPr>
                <w:b/>
                <w:sz w:val="11"/>
              </w:rPr>
              <w:t>1.325.012,49</w:t>
            </w:r>
          </w:p>
        </w:tc>
      </w:tr>
      <w:tr>
        <w:trPr>
          <w:trHeight w:val="206" w:hRule="atLeast"/>
        </w:trPr>
        <w:tc>
          <w:tcPr>
            <w:tcW w:w="4772" w:type="dxa"/>
          </w:tcPr>
          <w:p>
            <w:pPr>
              <w:pStyle w:val="TableParagraph"/>
              <w:spacing w:before="43"/>
              <w:ind w:left="26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Efectivo y equivalentes al efectivo al final del periodo</w:t>
            </w:r>
          </w:p>
        </w:tc>
        <w:tc>
          <w:tcPr>
            <w:tcW w:w="1475" w:type="dxa"/>
          </w:tcPr>
          <w:p>
            <w:pPr>
              <w:pStyle w:val="TableParagraph"/>
              <w:spacing w:before="40"/>
              <w:ind w:right="17"/>
              <w:rPr>
                <w:b/>
                <w:sz w:val="11"/>
              </w:rPr>
            </w:pPr>
            <w:r>
              <w:rPr>
                <w:b/>
                <w:sz w:val="11"/>
              </w:rPr>
              <w:t>623.986,86</w:t>
            </w:r>
          </w:p>
        </w:tc>
        <w:tc>
          <w:tcPr>
            <w:tcW w:w="886" w:type="dxa"/>
          </w:tcPr>
          <w:p>
            <w:pPr>
              <w:pStyle w:val="TableParagraph"/>
              <w:spacing w:before="40"/>
              <w:ind w:right="18"/>
              <w:rPr>
                <w:b/>
                <w:sz w:val="11"/>
              </w:rPr>
            </w:pPr>
            <w:r>
              <w:rPr>
                <w:b/>
                <w:sz w:val="11"/>
              </w:rPr>
              <w:t>243.459,21</w:t>
            </w:r>
          </w:p>
        </w:tc>
        <w:tc>
          <w:tcPr>
            <w:tcW w:w="860" w:type="dxa"/>
          </w:tcPr>
          <w:p>
            <w:pPr>
              <w:pStyle w:val="TableParagraph"/>
              <w:spacing w:before="40"/>
              <w:ind w:right="19"/>
              <w:rPr>
                <w:b/>
                <w:sz w:val="11"/>
              </w:rPr>
            </w:pPr>
            <w:r>
              <w:rPr>
                <w:b/>
                <w:sz w:val="11"/>
              </w:rPr>
              <w:t>1.379.539,55</w:t>
            </w:r>
          </w:p>
        </w:tc>
        <w:tc>
          <w:tcPr>
            <w:tcW w:w="841" w:type="dxa"/>
          </w:tcPr>
          <w:p>
            <w:pPr>
              <w:pStyle w:val="TableParagraph"/>
              <w:spacing w:before="40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3.417.272,89</w:t>
            </w:r>
          </w:p>
        </w:tc>
        <w:tc>
          <w:tcPr>
            <w:tcW w:w="877" w:type="dxa"/>
          </w:tcPr>
          <w:p>
            <w:pPr>
              <w:pStyle w:val="TableParagraph"/>
              <w:spacing w:before="40"/>
              <w:ind w:right="20"/>
              <w:rPr>
                <w:b/>
                <w:sz w:val="11"/>
              </w:rPr>
            </w:pPr>
            <w:r>
              <w:rPr>
                <w:b/>
                <w:sz w:val="11"/>
              </w:rPr>
              <w:t>3.036.745,23</w:t>
            </w:r>
          </w:p>
        </w:tc>
        <w:tc>
          <w:tcPr>
            <w:tcW w:w="867" w:type="dxa"/>
          </w:tcPr>
          <w:p>
            <w:pPr>
              <w:pStyle w:val="TableParagraph"/>
              <w:spacing w:before="40"/>
              <w:ind w:right="21"/>
              <w:rPr>
                <w:b/>
                <w:sz w:val="11"/>
              </w:rPr>
            </w:pPr>
            <w:r>
              <w:rPr>
                <w:b/>
                <w:sz w:val="11"/>
              </w:rPr>
              <w:t>2.656.217,58</w:t>
            </w:r>
          </w:p>
        </w:tc>
        <w:tc>
          <w:tcPr>
            <w:tcW w:w="781" w:type="dxa"/>
          </w:tcPr>
          <w:p>
            <w:pPr>
              <w:pStyle w:val="TableParagraph"/>
              <w:spacing w:before="40"/>
              <w:ind w:right="22"/>
              <w:rPr>
                <w:b/>
                <w:sz w:val="11"/>
              </w:rPr>
            </w:pPr>
            <w:r>
              <w:rPr>
                <w:b/>
                <w:sz w:val="11"/>
              </w:rPr>
              <w:t>2.275.713,96</w:t>
            </w:r>
          </w:p>
        </w:tc>
        <w:tc>
          <w:tcPr>
            <w:tcW w:w="808" w:type="dxa"/>
          </w:tcPr>
          <w:p>
            <w:pPr>
              <w:pStyle w:val="TableParagraph"/>
              <w:spacing w:before="40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2.466.523,34</w:t>
            </w:r>
          </w:p>
        </w:tc>
        <w:tc>
          <w:tcPr>
            <w:tcW w:w="999" w:type="dxa"/>
          </w:tcPr>
          <w:p>
            <w:pPr>
              <w:pStyle w:val="TableParagraph"/>
              <w:spacing w:before="40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2.086.019,72</w:t>
            </w:r>
          </w:p>
        </w:tc>
        <w:tc>
          <w:tcPr>
            <w:tcW w:w="903" w:type="dxa"/>
          </w:tcPr>
          <w:p>
            <w:pPr>
              <w:pStyle w:val="TableParagraph"/>
              <w:spacing w:before="40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1.705.516,11</w:t>
            </w:r>
          </w:p>
        </w:tc>
        <w:tc>
          <w:tcPr>
            <w:tcW w:w="929" w:type="dxa"/>
          </w:tcPr>
          <w:p>
            <w:pPr>
              <w:pStyle w:val="TableParagraph"/>
              <w:spacing w:before="40"/>
              <w:ind w:right="24"/>
              <w:rPr>
                <w:b/>
                <w:sz w:val="11"/>
              </w:rPr>
            </w:pPr>
            <w:r>
              <w:rPr>
                <w:b/>
                <w:sz w:val="11"/>
              </w:rPr>
              <w:t>1.325.012,49</w:t>
            </w:r>
          </w:p>
        </w:tc>
        <w:tc>
          <w:tcPr>
            <w:tcW w:w="939" w:type="dxa"/>
          </w:tcPr>
          <w:p>
            <w:pPr>
              <w:pStyle w:val="TableParagraph"/>
              <w:spacing w:before="40"/>
              <w:ind w:right="25"/>
              <w:rPr>
                <w:b/>
                <w:sz w:val="11"/>
              </w:rPr>
            </w:pPr>
            <w:r>
              <w:rPr>
                <w:b/>
                <w:sz w:val="11"/>
              </w:rPr>
              <w:t>1.199.998,15</w:t>
            </w:r>
          </w:p>
        </w:tc>
      </w:tr>
    </w:tbl>
    <w:sectPr>
      <w:pgSz w:w="16840" w:h="11910" w:orient="landscape"/>
      <w:pgMar w:top="460" w:bottom="280" w:left="1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1932" w:hanging="303"/>
      </w:pPr>
      <w:rPr>
        <w:rFonts w:hint="default" w:ascii="Wingdings" w:hAnsi="Wingdings" w:eastAsia="Wingdings" w:cs="Wingdings"/>
        <w:w w:val="103"/>
        <w:sz w:val="18"/>
        <w:szCs w:val="18"/>
      </w:rPr>
    </w:lvl>
    <w:lvl w:ilvl="1">
      <w:start w:val="0"/>
      <w:numFmt w:val="bullet"/>
      <w:lvlText w:val="•"/>
      <w:lvlJc w:val="left"/>
      <w:pPr>
        <w:ind w:left="2824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8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2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6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60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44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8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12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ListParagraph" w:type="paragraph">
    <w:name w:val="List Paragraph"/>
    <w:basedOn w:val="Normal"/>
    <w:uiPriority w:val="1"/>
    <w:qFormat/>
    <w:pPr>
      <w:spacing w:before="5"/>
      <w:ind w:left="1931" w:hanging="30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before="7"/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fucas.org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2026-04-09T18:44:13Z</dcterms:created>
  <dcterms:modified xsi:type="dcterms:W3CDTF">2026-04-09T18:44:13Z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2026-04-09T00:00:00Z</vt:filetime>
  </property>
</Properties>
</file>